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C00A4" w14:textId="54254022" w:rsidR="009F357F" w:rsidRDefault="009409F9" w:rsidP="009F357F">
      <w:pPr>
        <w:spacing w:line="240" w:lineRule="auto"/>
        <w:contextualSpacing w:val="0"/>
        <w:jc w:val="center"/>
        <w:rPr>
          <w:rFonts w:eastAsia="Times New Roman"/>
          <w:b/>
          <w:sz w:val="28"/>
          <w:szCs w:val="28"/>
          <w:lang w:val="es-ES"/>
        </w:rPr>
      </w:pPr>
      <w:bookmarkStart w:id="0" w:name="_GoBack"/>
      <w:bookmarkEnd w:id="0"/>
      <w:r w:rsidRPr="00AA73D4">
        <w:rPr>
          <w:rFonts w:eastAsia="Times New Roman"/>
          <w:b/>
          <w:sz w:val="28"/>
          <w:szCs w:val="28"/>
          <w:lang w:val="es-ES"/>
        </w:rPr>
        <w:t xml:space="preserve">CAMPAÑA </w:t>
      </w:r>
      <w:r w:rsidR="0060544D">
        <w:rPr>
          <w:rFonts w:eastAsia="Times New Roman"/>
          <w:b/>
          <w:sz w:val="28"/>
          <w:szCs w:val="28"/>
          <w:lang w:val="es-ES"/>
        </w:rPr>
        <w:t>INTERNACIONAL DE</w:t>
      </w:r>
      <w:r w:rsidR="008C01F5">
        <w:rPr>
          <w:rFonts w:eastAsia="Times New Roman"/>
          <w:b/>
          <w:sz w:val="28"/>
          <w:szCs w:val="28"/>
          <w:lang w:val="es-ES"/>
        </w:rPr>
        <w:t xml:space="preserve"> ABOGADOS Y JURISTAS</w:t>
      </w:r>
    </w:p>
    <w:p w14:paraId="63CFCC8B" w14:textId="1F3A8FC0" w:rsidR="00155C8A" w:rsidRPr="002B0D4A" w:rsidRDefault="009F357F" w:rsidP="00530587">
      <w:pPr>
        <w:spacing w:line="240" w:lineRule="auto"/>
        <w:contextualSpacing w:val="0"/>
        <w:jc w:val="center"/>
        <w:rPr>
          <w:rFonts w:eastAsia="Times New Roman"/>
          <w:b/>
          <w:sz w:val="28"/>
          <w:szCs w:val="28"/>
          <w:lang w:val="es-ES"/>
        </w:rPr>
      </w:pPr>
      <w:r>
        <w:rPr>
          <w:rFonts w:eastAsia="Times New Roman"/>
          <w:b/>
          <w:sz w:val="28"/>
          <w:szCs w:val="28"/>
          <w:lang w:val="es-ES"/>
        </w:rPr>
        <w:t xml:space="preserve">PARA LA INVESTIGACIÓN Y EL ENJUICIAMIENTO DE LOS CRÍMENES COMETIDOS CONTRA </w:t>
      </w:r>
      <w:r w:rsidR="00501442">
        <w:rPr>
          <w:rFonts w:eastAsia="Times New Roman"/>
          <w:b/>
          <w:sz w:val="28"/>
          <w:szCs w:val="28"/>
          <w:lang w:val="es-ES"/>
        </w:rPr>
        <w:t xml:space="preserve">EL PUEBLO PALESTINO </w:t>
      </w:r>
    </w:p>
    <w:p w14:paraId="35E6E430" w14:textId="77777777" w:rsidR="00155C8A" w:rsidRPr="002B0D4A" w:rsidRDefault="00155C8A">
      <w:pPr>
        <w:pStyle w:val="Normal1"/>
        <w:contextualSpacing w:val="0"/>
        <w:rPr>
          <w:lang w:val="es-ES"/>
        </w:rPr>
      </w:pPr>
    </w:p>
    <w:p w14:paraId="75CCCA4B" w14:textId="2F1D21A3" w:rsidR="009D2AEF" w:rsidRPr="002B0D4A" w:rsidRDefault="00986030" w:rsidP="00BA13E5">
      <w:pPr>
        <w:pStyle w:val="Normal1"/>
        <w:contextualSpacing w:val="0"/>
        <w:jc w:val="both"/>
        <w:rPr>
          <w:lang w:val="es-ES"/>
        </w:rPr>
      </w:pPr>
      <w:r w:rsidRPr="002B0D4A">
        <w:rPr>
          <w:lang w:val="es-ES"/>
        </w:rPr>
        <w:t xml:space="preserve">A/A: </w:t>
      </w:r>
      <w:r w:rsidR="006C7C5A" w:rsidRPr="002B0D4A">
        <w:rPr>
          <w:lang w:val="es-ES"/>
        </w:rPr>
        <w:t xml:space="preserve">Sra. Fatou Bom Bensouda, </w:t>
      </w:r>
      <w:r w:rsidR="008C01F5" w:rsidRPr="002B0D4A">
        <w:rPr>
          <w:lang w:val="es-ES"/>
        </w:rPr>
        <w:t>Oficina del Fiscal, Corte Penal Internacional (CPI)</w:t>
      </w:r>
    </w:p>
    <w:p w14:paraId="4C799CAD" w14:textId="77777777" w:rsidR="009D2AEF" w:rsidRPr="002B0D4A" w:rsidRDefault="00757F68">
      <w:pPr>
        <w:pStyle w:val="Normal1"/>
        <w:contextualSpacing w:val="0"/>
        <w:rPr>
          <w:lang w:val="es-ES"/>
        </w:rPr>
      </w:pPr>
      <w:r w:rsidRPr="002B0D4A">
        <w:rPr>
          <w:lang w:val="es-ES"/>
        </w:rPr>
        <w:t xml:space="preserve"> </w:t>
      </w:r>
    </w:p>
    <w:p w14:paraId="707C7562" w14:textId="78DB0E11" w:rsidR="00A9634E" w:rsidRPr="003F11CD" w:rsidRDefault="00757F68" w:rsidP="008D4626">
      <w:pPr>
        <w:pStyle w:val="Normal1"/>
        <w:ind w:left="360"/>
        <w:contextualSpacing w:val="0"/>
        <w:jc w:val="both"/>
        <w:rPr>
          <w:lang w:val="es-ES"/>
        </w:rPr>
      </w:pPr>
      <w:r w:rsidRPr="002B0D4A">
        <w:rPr>
          <w:i/>
          <w:lang w:val="es-ES"/>
        </w:rPr>
        <w:t xml:space="preserve">1. </w:t>
      </w:r>
      <w:r w:rsidRPr="002B0D4A">
        <w:rPr>
          <w:i/>
          <w:lang w:val="es-ES"/>
        </w:rPr>
        <w:tab/>
      </w:r>
      <w:r w:rsidR="005144F1" w:rsidRPr="003F11CD">
        <w:rPr>
          <w:i/>
          <w:lang w:val="es-ES"/>
        </w:rPr>
        <w:t>Teniendo presente</w:t>
      </w:r>
      <w:r w:rsidRPr="003F11CD">
        <w:rPr>
          <w:i/>
          <w:lang w:val="es-ES"/>
        </w:rPr>
        <w:t xml:space="preserve"> </w:t>
      </w:r>
      <w:r w:rsidR="003F11CD" w:rsidRPr="003F11CD">
        <w:rPr>
          <w:lang w:val="es-ES"/>
        </w:rPr>
        <w:t>que “el desconocimiento y el menosprecio de los derechos humanos ha originado actos de barbarie ultrajantes para la conciencia de la humanidad”</w:t>
      </w:r>
      <w:r w:rsidRPr="003F11CD">
        <w:rPr>
          <w:lang w:val="es-ES"/>
        </w:rPr>
        <w:t>,</w:t>
      </w:r>
      <w:r w:rsidR="00A9634E" w:rsidRPr="003F11CD">
        <w:rPr>
          <w:rStyle w:val="EndnoteReference"/>
        </w:rPr>
        <w:endnoteReference w:id="1"/>
      </w:r>
    </w:p>
    <w:p w14:paraId="71B016F3" w14:textId="06B79ABD" w:rsidR="00A9634E" w:rsidRPr="003F11CD" w:rsidRDefault="00A9634E" w:rsidP="008D4626">
      <w:pPr>
        <w:pStyle w:val="Normal1"/>
        <w:contextualSpacing w:val="0"/>
        <w:jc w:val="both"/>
        <w:rPr>
          <w:i/>
          <w:highlight w:val="yellow"/>
          <w:lang w:val="es-ES"/>
        </w:rPr>
      </w:pPr>
    </w:p>
    <w:p w14:paraId="0B6D6D47" w14:textId="2CC4F67A" w:rsidR="00A9634E" w:rsidRPr="0026191E" w:rsidRDefault="00A9634E" w:rsidP="008D4626">
      <w:pPr>
        <w:pStyle w:val="Normal1"/>
        <w:ind w:left="360"/>
        <w:contextualSpacing w:val="0"/>
        <w:jc w:val="both"/>
        <w:rPr>
          <w:lang w:val="es-ES"/>
        </w:rPr>
      </w:pPr>
      <w:r w:rsidRPr="002B0D4A">
        <w:rPr>
          <w:i/>
          <w:lang w:val="es-ES"/>
        </w:rPr>
        <w:t xml:space="preserve">2. </w:t>
      </w:r>
      <w:r w:rsidRPr="002B0D4A">
        <w:rPr>
          <w:i/>
          <w:lang w:val="es-ES"/>
        </w:rPr>
        <w:tab/>
      </w:r>
      <w:r w:rsidR="00116540" w:rsidRPr="0026191E">
        <w:rPr>
          <w:i/>
          <w:lang w:val="es-ES"/>
        </w:rPr>
        <w:t>Guiado</w:t>
      </w:r>
      <w:r w:rsidR="00116540" w:rsidRPr="0026191E">
        <w:rPr>
          <w:lang w:val="es-ES"/>
        </w:rPr>
        <w:t xml:space="preserve"> por los “Principios de Nuremberg”</w:t>
      </w:r>
      <w:r w:rsidRPr="0026191E">
        <w:rPr>
          <w:rStyle w:val="EndnoteReference"/>
        </w:rPr>
        <w:endnoteReference w:id="2"/>
      </w:r>
      <w:r w:rsidRPr="0026191E">
        <w:rPr>
          <w:lang w:val="es-ES"/>
        </w:rPr>
        <w:t xml:space="preserve"> </w:t>
      </w:r>
      <w:r w:rsidR="00116540" w:rsidRPr="0026191E">
        <w:rPr>
          <w:lang w:val="es-ES"/>
        </w:rPr>
        <w:t xml:space="preserve">y </w:t>
      </w:r>
      <w:r w:rsidR="00801B00" w:rsidRPr="0026191E">
        <w:rPr>
          <w:lang w:val="es-ES"/>
        </w:rPr>
        <w:t xml:space="preserve">destacando </w:t>
      </w:r>
      <w:r w:rsidR="00EA71A8" w:rsidRPr="0026191E">
        <w:rPr>
          <w:lang w:val="es-ES"/>
        </w:rPr>
        <w:t xml:space="preserve">a este respecto el principio de </w:t>
      </w:r>
      <w:r w:rsidR="00801B00" w:rsidRPr="0026191E">
        <w:rPr>
          <w:lang w:val="es-ES"/>
        </w:rPr>
        <w:t>responsabilidad penal individual</w:t>
      </w:r>
      <w:r w:rsidR="00EA71A8" w:rsidRPr="0026191E">
        <w:rPr>
          <w:lang w:val="es-ES"/>
        </w:rPr>
        <w:t xml:space="preserve"> por la comisión de crímenes internacionales, incluyendo crímenes de guerra y crímenes </w:t>
      </w:r>
      <w:r w:rsidR="000B51C3">
        <w:rPr>
          <w:lang w:val="es-ES"/>
        </w:rPr>
        <w:t>de lesa</w:t>
      </w:r>
      <w:r w:rsidR="00EA71A8" w:rsidRPr="0026191E">
        <w:rPr>
          <w:lang w:val="es-ES"/>
        </w:rPr>
        <w:t xml:space="preserve"> humanidad</w:t>
      </w:r>
      <w:r w:rsidRPr="0026191E">
        <w:rPr>
          <w:lang w:val="es-ES"/>
        </w:rPr>
        <w:t>,</w:t>
      </w:r>
      <w:r w:rsidRPr="0026191E">
        <w:rPr>
          <w:rStyle w:val="EndnoteReference"/>
        </w:rPr>
        <w:endnoteReference w:id="3"/>
      </w:r>
      <w:r w:rsidRPr="0026191E">
        <w:rPr>
          <w:lang w:val="es-ES"/>
        </w:rPr>
        <w:t xml:space="preserve"> </w:t>
      </w:r>
    </w:p>
    <w:p w14:paraId="00060028" w14:textId="77777777" w:rsidR="00A9634E" w:rsidRPr="0026191E" w:rsidRDefault="00A9634E" w:rsidP="008D4626">
      <w:pPr>
        <w:pStyle w:val="Normal1"/>
        <w:contextualSpacing w:val="0"/>
        <w:jc w:val="both"/>
        <w:rPr>
          <w:highlight w:val="yellow"/>
          <w:lang w:val="es-ES"/>
        </w:rPr>
      </w:pPr>
      <w:r w:rsidRPr="0026191E">
        <w:rPr>
          <w:highlight w:val="yellow"/>
          <w:lang w:val="es-ES"/>
        </w:rPr>
        <w:t xml:space="preserve"> </w:t>
      </w:r>
    </w:p>
    <w:p w14:paraId="0140BD53" w14:textId="33C223C3" w:rsidR="00A9634E" w:rsidRPr="00CC688C" w:rsidRDefault="00A9634E" w:rsidP="008D4626">
      <w:pPr>
        <w:pStyle w:val="Normal1"/>
        <w:ind w:left="360"/>
        <w:contextualSpacing w:val="0"/>
        <w:jc w:val="both"/>
        <w:rPr>
          <w:rFonts w:ascii="Calibri" w:eastAsia="Calibri" w:hAnsi="Calibri" w:cs="Calibri"/>
          <w:sz w:val="24"/>
          <w:szCs w:val="24"/>
          <w:lang w:val="es-ES"/>
        </w:rPr>
      </w:pPr>
      <w:r w:rsidRPr="002B0D4A">
        <w:rPr>
          <w:i/>
          <w:lang w:val="es-ES"/>
        </w:rPr>
        <w:t xml:space="preserve">3. </w:t>
      </w:r>
      <w:r w:rsidRPr="002B0D4A">
        <w:rPr>
          <w:i/>
          <w:lang w:val="es-ES"/>
        </w:rPr>
        <w:tab/>
      </w:r>
      <w:r w:rsidR="00074BE8" w:rsidRPr="001B110A">
        <w:rPr>
          <w:i/>
          <w:lang w:val="es-ES"/>
        </w:rPr>
        <w:t xml:space="preserve">Afirmando </w:t>
      </w:r>
      <w:r w:rsidR="00074BE8" w:rsidRPr="001B110A">
        <w:rPr>
          <w:lang w:val="es-ES"/>
        </w:rPr>
        <w:t xml:space="preserve">que las víctimas de </w:t>
      </w:r>
      <w:r w:rsidR="00062216" w:rsidRPr="001B110A">
        <w:rPr>
          <w:lang w:val="es-ES"/>
        </w:rPr>
        <w:t xml:space="preserve">graves violaciones de </w:t>
      </w:r>
      <w:r w:rsidR="006B4929" w:rsidRPr="001B110A">
        <w:rPr>
          <w:lang w:val="es-ES"/>
        </w:rPr>
        <w:t>del Derecho Internacional de los Derechos Humanos y de serias violaciones de Derecho Internacional Humanitario tienen derecho a</w:t>
      </w:r>
      <w:r w:rsidR="004A2115" w:rsidRPr="001B110A">
        <w:rPr>
          <w:lang w:val="es-ES"/>
        </w:rPr>
        <w:t xml:space="preserve"> </w:t>
      </w:r>
      <w:r w:rsidR="00F80B5E">
        <w:rPr>
          <w:lang w:val="es-ES"/>
        </w:rPr>
        <w:t>interponer recursos y obtener r</w:t>
      </w:r>
      <w:r w:rsidR="006B4929" w:rsidRPr="001B110A">
        <w:rPr>
          <w:lang w:val="es-ES"/>
        </w:rPr>
        <w:t>eparación</w:t>
      </w:r>
      <w:r w:rsidRPr="001B110A">
        <w:rPr>
          <w:lang w:val="es-ES"/>
        </w:rPr>
        <w:t>,</w:t>
      </w:r>
      <w:r w:rsidRPr="001B110A">
        <w:rPr>
          <w:rStyle w:val="EndnoteReference"/>
        </w:rPr>
        <w:endnoteReference w:id="4"/>
      </w:r>
    </w:p>
    <w:p w14:paraId="2BABD4E0" w14:textId="77777777" w:rsidR="00A9634E" w:rsidRPr="00471A80" w:rsidRDefault="00A9634E" w:rsidP="008D4626">
      <w:pPr>
        <w:pStyle w:val="Normal1"/>
        <w:contextualSpacing w:val="0"/>
        <w:jc w:val="both"/>
        <w:rPr>
          <w:highlight w:val="yellow"/>
          <w:lang w:val="es-ES"/>
        </w:rPr>
      </w:pPr>
      <w:r w:rsidRPr="00471A80">
        <w:rPr>
          <w:highlight w:val="yellow"/>
          <w:lang w:val="es-ES"/>
        </w:rPr>
        <w:t xml:space="preserve"> </w:t>
      </w:r>
    </w:p>
    <w:p w14:paraId="7A124D96" w14:textId="502F15E4" w:rsidR="00A9634E" w:rsidRPr="00471A80" w:rsidRDefault="00A9634E" w:rsidP="008D4626">
      <w:pPr>
        <w:pStyle w:val="Normal1"/>
        <w:ind w:left="360"/>
        <w:contextualSpacing w:val="0"/>
        <w:jc w:val="both"/>
        <w:rPr>
          <w:rFonts w:ascii="Calibri" w:eastAsia="Calibri" w:hAnsi="Calibri" w:cs="Calibri"/>
          <w:sz w:val="24"/>
          <w:szCs w:val="24"/>
          <w:lang w:val="es-ES"/>
        </w:rPr>
      </w:pPr>
      <w:r w:rsidRPr="002B0D4A">
        <w:rPr>
          <w:i/>
          <w:lang w:val="es-ES"/>
        </w:rPr>
        <w:t xml:space="preserve">4. </w:t>
      </w:r>
      <w:r w:rsidRPr="002B0D4A">
        <w:rPr>
          <w:i/>
          <w:lang w:val="es-ES"/>
        </w:rPr>
        <w:tab/>
      </w:r>
      <w:r w:rsidR="004C6454" w:rsidRPr="00471A80">
        <w:rPr>
          <w:i/>
          <w:lang w:val="es-ES"/>
        </w:rPr>
        <w:t>A</w:t>
      </w:r>
      <w:r w:rsidR="00082BF4" w:rsidRPr="00471A80">
        <w:rPr>
          <w:i/>
          <w:lang w:val="es-ES"/>
        </w:rPr>
        <w:t xml:space="preserve">firmando </w:t>
      </w:r>
      <w:r w:rsidR="004C6454" w:rsidRPr="00471A80">
        <w:rPr>
          <w:lang w:val="es-ES"/>
        </w:rPr>
        <w:t xml:space="preserve">“que </w:t>
      </w:r>
      <w:r w:rsidR="00655D00" w:rsidRPr="00471A80">
        <w:rPr>
          <w:lang w:val="es-ES"/>
        </w:rPr>
        <w:t xml:space="preserve">los crímenes más graves de trascendencia para la comunidad internacional en su conjunto no deben quedar sin </w:t>
      </w:r>
      <w:r w:rsidR="00655D00" w:rsidRPr="003A4FA8">
        <w:rPr>
          <w:lang w:val="es-ES"/>
        </w:rPr>
        <w:t>castigo y</w:t>
      </w:r>
      <w:r w:rsidR="00471A80" w:rsidRPr="003A4FA8">
        <w:rPr>
          <w:lang w:val="es-ES"/>
        </w:rPr>
        <w:t xml:space="preserve"> que</w:t>
      </w:r>
      <w:r w:rsidR="003A4FA8" w:rsidRPr="003A4FA8">
        <w:rPr>
          <w:lang w:val="es-ES"/>
        </w:rPr>
        <w:t xml:space="preserve"> […]</w:t>
      </w:r>
      <w:r w:rsidR="00471A80" w:rsidRPr="003A4FA8">
        <w:rPr>
          <w:lang w:val="es-ES"/>
        </w:rPr>
        <w:t xml:space="preserve"> </w:t>
      </w:r>
      <w:r w:rsidR="00655D00" w:rsidRPr="003A4FA8">
        <w:rPr>
          <w:lang w:val="es-ES"/>
        </w:rPr>
        <w:t>sean efectivamente sometidos a la acción de la justicia</w:t>
      </w:r>
      <w:r w:rsidR="004C6454" w:rsidRPr="003A4FA8">
        <w:rPr>
          <w:lang w:val="es-ES"/>
        </w:rPr>
        <w:t>”</w:t>
      </w:r>
      <w:r w:rsidRPr="003A4FA8">
        <w:rPr>
          <w:lang w:val="es-ES"/>
        </w:rPr>
        <w:t>,</w:t>
      </w:r>
      <w:r w:rsidRPr="003A4FA8">
        <w:rPr>
          <w:rStyle w:val="EndnoteReference"/>
        </w:rPr>
        <w:endnoteReference w:id="5"/>
      </w:r>
    </w:p>
    <w:p w14:paraId="2B376935" w14:textId="77777777" w:rsidR="00A9634E" w:rsidRPr="00471A80" w:rsidRDefault="00A9634E" w:rsidP="008D4626">
      <w:pPr>
        <w:pStyle w:val="Normal1"/>
        <w:contextualSpacing w:val="0"/>
        <w:jc w:val="both"/>
        <w:rPr>
          <w:highlight w:val="yellow"/>
          <w:lang w:val="es-ES"/>
        </w:rPr>
      </w:pPr>
      <w:r w:rsidRPr="00471A80">
        <w:rPr>
          <w:highlight w:val="yellow"/>
          <w:lang w:val="es-ES"/>
        </w:rPr>
        <w:t xml:space="preserve"> </w:t>
      </w:r>
    </w:p>
    <w:p w14:paraId="07CBD785" w14:textId="264EA5E9" w:rsidR="00A9634E" w:rsidRPr="002B0D4A" w:rsidRDefault="00A9634E" w:rsidP="008D4626">
      <w:pPr>
        <w:pStyle w:val="Normal1"/>
        <w:ind w:left="360"/>
        <w:contextualSpacing w:val="0"/>
        <w:jc w:val="both"/>
        <w:rPr>
          <w:lang w:val="es-ES"/>
        </w:rPr>
      </w:pPr>
      <w:r w:rsidRPr="002B0D4A">
        <w:rPr>
          <w:i/>
          <w:lang w:val="es-ES"/>
        </w:rPr>
        <w:t xml:space="preserve">5. </w:t>
      </w:r>
      <w:r w:rsidRPr="002B0D4A">
        <w:rPr>
          <w:i/>
          <w:lang w:val="es-ES"/>
        </w:rPr>
        <w:tab/>
      </w:r>
      <w:r w:rsidRPr="00CD2955">
        <w:rPr>
          <w:i/>
          <w:lang w:val="es-ES"/>
        </w:rPr>
        <w:t>Rec</w:t>
      </w:r>
      <w:r w:rsidR="003919A5" w:rsidRPr="00CD2955">
        <w:rPr>
          <w:i/>
          <w:lang w:val="es-ES"/>
        </w:rPr>
        <w:t>ordando</w:t>
      </w:r>
      <w:r w:rsidRPr="00CD2955">
        <w:rPr>
          <w:i/>
          <w:lang w:val="es-ES"/>
        </w:rPr>
        <w:t xml:space="preserve"> </w:t>
      </w:r>
      <w:r w:rsidR="003919A5" w:rsidRPr="00CD2955">
        <w:rPr>
          <w:lang w:val="es-ES"/>
        </w:rPr>
        <w:t xml:space="preserve">que Israel continúa ocupando ilegalmente el </w:t>
      </w:r>
      <w:r w:rsidR="0092617A" w:rsidRPr="00CD2955">
        <w:rPr>
          <w:lang w:val="es-ES"/>
        </w:rPr>
        <w:t>territorio palestino desde 1967</w:t>
      </w:r>
      <w:r w:rsidR="0077306E">
        <w:rPr>
          <w:lang w:val="es-ES"/>
        </w:rPr>
        <w:t>,</w:t>
      </w:r>
      <w:r w:rsidRPr="00CD2955">
        <w:rPr>
          <w:rStyle w:val="EndnoteReference"/>
        </w:rPr>
        <w:endnoteReference w:id="6"/>
      </w:r>
      <w:r w:rsidR="0092617A" w:rsidRPr="00CD2955">
        <w:rPr>
          <w:lang w:val="es-ES"/>
        </w:rPr>
        <w:t xml:space="preserve"> lo cual ha resultado en la</w:t>
      </w:r>
      <w:r w:rsidR="00FF5A85" w:rsidRPr="00CD2955">
        <w:rPr>
          <w:lang w:val="es-ES"/>
        </w:rPr>
        <w:t xml:space="preserve"> ocupación beligerante en curso más prolongada de un territorio </w:t>
      </w:r>
      <w:r w:rsidR="00CD2955" w:rsidRPr="00CD2955">
        <w:rPr>
          <w:lang w:val="es-ES"/>
        </w:rPr>
        <w:t>en todo el mundo, mientras que también asedian la Franja de Gaza tras la “retirada”</w:t>
      </w:r>
      <w:r w:rsidR="00CD2955">
        <w:rPr>
          <w:lang w:val="es-ES"/>
        </w:rPr>
        <w:t xml:space="preserve"> de las FDI en</w:t>
      </w:r>
      <w:r w:rsidRPr="00CD2955">
        <w:rPr>
          <w:lang w:val="es-ES"/>
        </w:rPr>
        <w:t xml:space="preserve"> 2005</w:t>
      </w:r>
      <w:r w:rsidR="0077306E">
        <w:rPr>
          <w:lang w:val="es-ES"/>
        </w:rPr>
        <w:t>,</w:t>
      </w:r>
      <w:r w:rsidRPr="00CD2955">
        <w:rPr>
          <w:vertAlign w:val="superscript"/>
        </w:rPr>
        <w:endnoteReference w:id="7"/>
      </w:r>
    </w:p>
    <w:p w14:paraId="3217C4D0" w14:textId="06DF5770" w:rsidR="00A9634E" w:rsidRPr="00CD2955" w:rsidRDefault="00A9634E" w:rsidP="008D4626">
      <w:pPr>
        <w:pStyle w:val="Normal1"/>
        <w:contextualSpacing w:val="0"/>
        <w:jc w:val="both"/>
        <w:rPr>
          <w:highlight w:val="yellow"/>
          <w:lang w:val="es-ES"/>
        </w:rPr>
      </w:pPr>
    </w:p>
    <w:p w14:paraId="54E61B94" w14:textId="0F1A6DBF" w:rsidR="00A9634E" w:rsidRPr="00DE3FAC" w:rsidRDefault="00A9634E" w:rsidP="008D4626">
      <w:pPr>
        <w:pStyle w:val="Normal1"/>
        <w:ind w:left="360"/>
        <w:contextualSpacing w:val="0"/>
        <w:jc w:val="both"/>
        <w:rPr>
          <w:lang w:val="es-ES"/>
        </w:rPr>
      </w:pPr>
      <w:r w:rsidRPr="002B0D4A">
        <w:rPr>
          <w:i/>
          <w:lang w:val="es-ES"/>
        </w:rPr>
        <w:t xml:space="preserve">6. </w:t>
      </w:r>
      <w:r w:rsidRPr="002B0D4A">
        <w:rPr>
          <w:i/>
          <w:lang w:val="es-ES"/>
        </w:rPr>
        <w:tab/>
      </w:r>
      <w:r w:rsidR="00310697" w:rsidRPr="00DE3FAC">
        <w:rPr>
          <w:i/>
          <w:lang w:val="es-ES"/>
        </w:rPr>
        <w:t xml:space="preserve">Denunciando </w:t>
      </w:r>
      <w:r w:rsidR="0077306E" w:rsidRPr="00DE3FAC">
        <w:rPr>
          <w:lang w:val="es-ES"/>
        </w:rPr>
        <w:t>las atrocidades inimaginables que</w:t>
      </w:r>
      <w:r w:rsidR="00DE3FAC" w:rsidRPr="00DE3FAC">
        <w:rPr>
          <w:lang w:val="es-ES"/>
        </w:rPr>
        <w:t xml:space="preserve"> Israel ha cometido y continúa cometiendo</w:t>
      </w:r>
      <w:r w:rsidR="0077306E" w:rsidRPr="00DE3FAC">
        <w:rPr>
          <w:lang w:val="es-ES"/>
        </w:rPr>
        <w:t xml:space="preserve"> contra </w:t>
      </w:r>
      <w:r w:rsidR="00DE3FAC" w:rsidRPr="00DE3FAC">
        <w:rPr>
          <w:lang w:val="es-ES"/>
        </w:rPr>
        <w:t>la población civil palestina, que conmocionan profundamente la conciencia de la humanidad,</w:t>
      </w:r>
    </w:p>
    <w:p w14:paraId="1ABCE990" w14:textId="77777777" w:rsidR="00A9634E" w:rsidRPr="00DE3FAC" w:rsidRDefault="00A9634E" w:rsidP="008D4626">
      <w:pPr>
        <w:pStyle w:val="Normal1"/>
        <w:contextualSpacing w:val="0"/>
        <w:jc w:val="both"/>
        <w:rPr>
          <w:highlight w:val="yellow"/>
          <w:lang w:val="es-ES"/>
        </w:rPr>
      </w:pPr>
      <w:r w:rsidRPr="00DE3FAC">
        <w:rPr>
          <w:highlight w:val="yellow"/>
          <w:lang w:val="es-ES"/>
        </w:rPr>
        <w:t xml:space="preserve"> </w:t>
      </w:r>
    </w:p>
    <w:p w14:paraId="5C590942" w14:textId="59CA09B4" w:rsidR="00A9634E" w:rsidRPr="0063049C" w:rsidRDefault="00A9634E" w:rsidP="008D4626">
      <w:pPr>
        <w:pStyle w:val="Normal1"/>
        <w:ind w:left="360"/>
        <w:contextualSpacing w:val="0"/>
        <w:jc w:val="both"/>
        <w:rPr>
          <w:lang w:val="es-ES"/>
        </w:rPr>
      </w:pPr>
      <w:r w:rsidRPr="002B0D4A">
        <w:rPr>
          <w:i/>
          <w:lang w:val="es-ES"/>
        </w:rPr>
        <w:t xml:space="preserve">7. </w:t>
      </w:r>
      <w:r w:rsidRPr="002B0D4A">
        <w:rPr>
          <w:i/>
          <w:lang w:val="es-ES"/>
        </w:rPr>
        <w:tab/>
      </w:r>
      <w:r w:rsidR="00106D9C" w:rsidRPr="0063049C">
        <w:rPr>
          <w:i/>
          <w:lang w:val="es-ES"/>
        </w:rPr>
        <w:t>Recordando</w:t>
      </w:r>
      <w:r w:rsidRPr="0063049C">
        <w:rPr>
          <w:i/>
          <w:lang w:val="es-ES"/>
        </w:rPr>
        <w:t xml:space="preserve"> </w:t>
      </w:r>
      <w:r w:rsidR="00020534" w:rsidRPr="0063049C">
        <w:rPr>
          <w:lang w:val="es-ES"/>
        </w:rPr>
        <w:t>las incontables resoluciones de la Asamblea General de Naciones Unidas, el Consejo de Seguridad de Naciones Unidas y el Consejo de Derechos Humanos denunciando tales violaciones por parte d</w:t>
      </w:r>
      <w:r w:rsidR="0063049C">
        <w:rPr>
          <w:lang w:val="es-ES"/>
        </w:rPr>
        <w:t>el Estado de Israel</w:t>
      </w:r>
      <w:r w:rsidRPr="0063049C">
        <w:rPr>
          <w:lang w:val="es-ES"/>
        </w:rPr>
        <w:t>,</w:t>
      </w:r>
      <w:r w:rsidRPr="0063049C">
        <w:rPr>
          <w:vertAlign w:val="superscript"/>
        </w:rPr>
        <w:endnoteReference w:id="8"/>
      </w:r>
    </w:p>
    <w:p w14:paraId="5EC521E9" w14:textId="77777777" w:rsidR="00A9634E" w:rsidRPr="002B0D4A" w:rsidRDefault="00A9634E" w:rsidP="008D4626">
      <w:pPr>
        <w:pStyle w:val="Normal1"/>
        <w:ind w:left="360"/>
        <w:contextualSpacing w:val="0"/>
        <w:jc w:val="both"/>
        <w:rPr>
          <w:lang w:val="es-ES"/>
        </w:rPr>
      </w:pPr>
    </w:p>
    <w:p w14:paraId="4BB2C7ED" w14:textId="705E1E6C" w:rsidR="00A9634E" w:rsidRPr="002B0D4A" w:rsidRDefault="00A9634E" w:rsidP="00522192">
      <w:pPr>
        <w:pStyle w:val="Normal1"/>
        <w:ind w:left="360"/>
        <w:contextualSpacing w:val="0"/>
        <w:jc w:val="both"/>
        <w:rPr>
          <w:lang w:val="es-ES"/>
        </w:rPr>
      </w:pPr>
      <w:r w:rsidRPr="0038667D">
        <w:rPr>
          <w:i/>
          <w:lang w:val="es-ES"/>
        </w:rPr>
        <w:t>8. R</w:t>
      </w:r>
      <w:r w:rsidR="00106D9C" w:rsidRPr="0038667D">
        <w:rPr>
          <w:i/>
          <w:lang w:val="es-ES"/>
        </w:rPr>
        <w:t>ecordando</w:t>
      </w:r>
      <w:r w:rsidRPr="0038667D">
        <w:rPr>
          <w:lang w:val="es-ES"/>
        </w:rPr>
        <w:t xml:space="preserve"> </w:t>
      </w:r>
      <w:r w:rsidR="00E5279F" w:rsidRPr="0038667D">
        <w:rPr>
          <w:lang w:val="es-ES"/>
        </w:rPr>
        <w:t xml:space="preserve">que, a pesar de los numerosos informes presentados por </w:t>
      </w:r>
      <w:r w:rsidR="0038667D">
        <w:rPr>
          <w:lang w:val="es-ES"/>
        </w:rPr>
        <w:t xml:space="preserve">organizaciones no gubernamentales </w:t>
      </w:r>
      <w:r w:rsidR="00E5279F" w:rsidRPr="0038667D">
        <w:rPr>
          <w:lang w:val="es-ES"/>
        </w:rPr>
        <w:t xml:space="preserve">palestinas e internacionales a la Fiscalía, </w:t>
      </w:r>
      <w:r w:rsidR="002B0D4A" w:rsidRPr="0038667D">
        <w:rPr>
          <w:lang w:val="es-ES"/>
        </w:rPr>
        <w:t>l</w:t>
      </w:r>
      <w:r w:rsidR="002B0D4A">
        <w:rPr>
          <w:lang w:val="es-ES"/>
        </w:rPr>
        <w:t>a comisión de</w:t>
      </w:r>
      <w:r w:rsidR="002B0D4A" w:rsidRPr="0038667D">
        <w:rPr>
          <w:lang w:val="es-ES"/>
        </w:rPr>
        <w:t xml:space="preserve"> </w:t>
      </w:r>
      <w:r w:rsidR="000B51C3" w:rsidRPr="0038667D">
        <w:rPr>
          <w:lang w:val="es-ES"/>
        </w:rPr>
        <w:t>crímenes de guerra y crímenes de lesa humanidad ha continuado</w:t>
      </w:r>
      <w:r w:rsidR="00522192" w:rsidRPr="0038667D">
        <w:rPr>
          <w:lang w:val="es-ES"/>
        </w:rPr>
        <w:t xml:space="preserve"> de manera agravada durante todo el periodo de examen preliminar por parte de la Fiscalía</w:t>
      </w:r>
      <w:r w:rsidRPr="002B0D4A">
        <w:rPr>
          <w:lang w:val="es-ES"/>
        </w:rPr>
        <w:t>,</w:t>
      </w:r>
      <w:r w:rsidRPr="002B0D4A">
        <w:rPr>
          <w:vertAlign w:val="superscript"/>
        </w:rPr>
        <w:endnoteReference w:id="9"/>
      </w:r>
    </w:p>
    <w:p w14:paraId="24ACB899" w14:textId="77777777" w:rsidR="00A9634E" w:rsidRPr="002B0D4A" w:rsidRDefault="00A9634E" w:rsidP="008D4626">
      <w:pPr>
        <w:pStyle w:val="Normal1"/>
        <w:contextualSpacing w:val="0"/>
        <w:jc w:val="both"/>
        <w:rPr>
          <w:lang w:val="es-ES"/>
        </w:rPr>
      </w:pPr>
      <w:r w:rsidRPr="002B0D4A">
        <w:rPr>
          <w:lang w:val="es-ES"/>
        </w:rPr>
        <w:t xml:space="preserve"> </w:t>
      </w:r>
    </w:p>
    <w:p w14:paraId="113295D5" w14:textId="7F7E0334" w:rsidR="00A9634E" w:rsidRPr="00E1698E" w:rsidRDefault="00A9634E" w:rsidP="008D4626">
      <w:pPr>
        <w:pStyle w:val="Normal1"/>
        <w:ind w:left="360"/>
        <w:contextualSpacing w:val="0"/>
        <w:jc w:val="both"/>
        <w:rPr>
          <w:rFonts w:ascii="Calibri" w:eastAsia="Calibri" w:hAnsi="Calibri" w:cs="Calibri"/>
          <w:sz w:val="24"/>
          <w:szCs w:val="24"/>
          <w:lang w:val="es-ES"/>
        </w:rPr>
      </w:pPr>
      <w:r w:rsidRPr="00E1698E">
        <w:rPr>
          <w:i/>
          <w:lang w:val="es-ES"/>
        </w:rPr>
        <w:t>9. Den</w:t>
      </w:r>
      <w:r w:rsidR="00310697" w:rsidRPr="00E1698E">
        <w:rPr>
          <w:i/>
          <w:lang w:val="es-ES"/>
        </w:rPr>
        <w:t>unciando</w:t>
      </w:r>
      <w:r w:rsidR="00747600" w:rsidRPr="00E1698E">
        <w:rPr>
          <w:i/>
          <w:lang w:val="es-ES"/>
        </w:rPr>
        <w:t xml:space="preserve"> </w:t>
      </w:r>
      <w:r w:rsidR="00747600" w:rsidRPr="00E1698E">
        <w:rPr>
          <w:lang w:val="es-ES"/>
        </w:rPr>
        <w:t>el fracaso y</w:t>
      </w:r>
      <w:r w:rsidR="008C13BD" w:rsidRPr="00E1698E">
        <w:rPr>
          <w:lang w:val="es-ES"/>
        </w:rPr>
        <w:t xml:space="preserve"> la negativa del Estado de Israel </w:t>
      </w:r>
      <w:r w:rsidR="002169CB" w:rsidRPr="00E1698E">
        <w:rPr>
          <w:lang w:val="es-ES"/>
        </w:rPr>
        <w:t xml:space="preserve">de responsabilizar a </w:t>
      </w:r>
      <w:r w:rsidR="00E1698E">
        <w:rPr>
          <w:lang w:val="es-ES"/>
        </w:rPr>
        <w:t>aquel</w:t>
      </w:r>
      <w:r w:rsidR="002169CB" w:rsidRPr="00E1698E">
        <w:rPr>
          <w:lang w:val="es-ES"/>
        </w:rPr>
        <w:t>los sospechosos de cometer crímenes contra civiles palestinos, lo que supone el abandono del estado de derecho</w:t>
      </w:r>
      <w:r w:rsidR="00B6338B" w:rsidRPr="00E1698E">
        <w:rPr>
          <w:lang w:val="es-ES"/>
        </w:rPr>
        <w:t xml:space="preserve"> y su sustitución por una impunidad generalizada para los funcionarios isra</w:t>
      </w:r>
      <w:r w:rsidR="00B211FA">
        <w:rPr>
          <w:lang w:val="es-ES"/>
        </w:rPr>
        <w:t xml:space="preserve">elíes que han sido sancionados </w:t>
      </w:r>
      <w:r w:rsidR="00B6338B" w:rsidRPr="00E1698E">
        <w:rPr>
          <w:lang w:val="es-ES"/>
        </w:rPr>
        <w:t xml:space="preserve">y para los individuos israelíes que han perpetrado tales </w:t>
      </w:r>
      <w:r w:rsidR="00B6338B" w:rsidRPr="00E1698E">
        <w:rPr>
          <w:lang w:val="es-ES"/>
        </w:rPr>
        <w:lastRenderedPageBreak/>
        <w:t xml:space="preserve">crímenes. La impunidad contribuye a la continuación, </w:t>
      </w:r>
      <w:r w:rsidR="00B211FA">
        <w:rPr>
          <w:lang w:val="es-ES"/>
        </w:rPr>
        <w:t xml:space="preserve">la </w:t>
      </w:r>
      <w:r w:rsidR="002D2361" w:rsidRPr="00E1698E">
        <w:rPr>
          <w:lang w:val="es-ES"/>
        </w:rPr>
        <w:t xml:space="preserve">intensificación y </w:t>
      </w:r>
      <w:r w:rsidR="00B211FA">
        <w:rPr>
          <w:lang w:val="es-ES"/>
        </w:rPr>
        <w:t xml:space="preserve">la </w:t>
      </w:r>
      <w:r w:rsidR="002D2361" w:rsidRPr="00E1698E">
        <w:rPr>
          <w:lang w:val="es-ES"/>
        </w:rPr>
        <w:t>repetición de tales crímenes</w:t>
      </w:r>
      <w:r w:rsidRPr="00E1698E">
        <w:rPr>
          <w:lang w:val="es-ES"/>
        </w:rPr>
        <w:t>,</w:t>
      </w:r>
      <w:r w:rsidRPr="00E1698E">
        <w:rPr>
          <w:rStyle w:val="EndnoteReference"/>
        </w:rPr>
        <w:endnoteReference w:id="10"/>
      </w:r>
      <w:r w:rsidRPr="00E1698E">
        <w:rPr>
          <w:rFonts w:ascii="Calibri" w:eastAsia="Calibri" w:hAnsi="Calibri" w:cs="Calibri"/>
          <w:sz w:val="24"/>
          <w:szCs w:val="24"/>
          <w:lang w:val="es-ES"/>
        </w:rPr>
        <w:t xml:space="preserve"> </w:t>
      </w:r>
    </w:p>
    <w:p w14:paraId="5CAAD475" w14:textId="6663F297" w:rsidR="00A9634E" w:rsidRPr="005942C9" w:rsidRDefault="00A9634E" w:rsidP="008D4626">
      <w:pPr>
        <w:pStyle w:val="Normal1"/>
        <w:contextualSpacing w:val="0"/>
        <w:jc w:val="both"/>
        <w:rPr>
          <w:i/>
          <w:highlight w:val="yellow"/>
          <w:lang w:val="es-ES"/>
        </w:rPr>
      </w:pPr>
    </w:p>
    <w:p w14:paraId="4C734DA3" w14:textId="620B52A2" w:rsidR="005942C9" w:rsidRPr="009D653B" w:rsidRDefault="00A9634E" w:rsidP="005942C9">
      <w:pPr>
        <w:pStyle w:val="Normal1"/>
        <w:ind w:left="360"/>
        <w:contextualSpacing w:val="0"/>
        <w:jc w:val="both"/>
        <w:rPr>
          <w:rFonts w:ascii="Calibri" w:eastAsia="Calibri" w:hAnsi="Calibri" w:cs="Calibri"/>
          <w:sz w:val="24"/>
          <w:szCs w:val="24"/>
          <w:lang w:val="es-ES"/>
        </w:rPr>
      </w:pPr>
      <w:r w:rsidRPr="009D653B">
        <w:rPr>
          <w:i/>
          <w:lang w:val="es-ES"/>
        </w:rPr>
        <w:t>10.</w:t>
      </w:r>
      <w:r w:rsidRPr="009D653B">
        <w:rPr>
          <w:i/>
          <w:lang w:val="es-ES"/>
        </w:rPr>
        <w:tab/>
        <w:t>Rec</w:t>
      </w:r>
      <w:r w:rsidR="00106D9C" w:rsidRPr="009D653B">
        <w:rPr>
          <w:i/>
          <w:lang w:val="es-ES"/>
        </w:rPr>
        <w:t>ordando</w:t>
      </w:r>
      <w:r w:rsidRPr="009D653B">
        <w:rPr>
          <w:i/>
          <w:lang w:val="es-ES"/>
        </w:rPr>
        <w:t xml:space="preserve"> </w:t>
      </w:r>
      <w:r w:rsidR="005942C9" w:rsidRPr="009D653B">
        <w:rPr>
          <w:lang w:val="es-ES"/>
        </w:rPr>
        <w:t>la accesión de Pal</w:t>
      </w:r>
      <w:r w:rsidR="003B11CE" w:rsidRPr="009D653B">
        <w:rPr>
          <w:lang w:val="es-ES"/>
        </w:rPr>
        <w:t>estina al Estatuto de Roma y su aceptación de la jurisdicción de la CPI sobre los cr</w:t>
      </w:r>
      <w:r w:rsidR="00F54503" w:rsidRPr="009D653B">
        <w:rPr>
          <w:lang w:val="es-ES"/>
        </w:rPr>
        <w:t>ímenes cometidos en los TPO desde el 13 de junio de 2014,</w:t>
      </w:r>
      <w:r w:rsidRPr="009D653B">
        <w:rPr>
          <w:rStyle w:val="EndnoteReference"/>
          <w:rFonts w:ascii="Calibri" w:eastAsia="Calibri" w:hAnsi="Calibri" w:cs="Calibri"/>
          <w:sz w:val="24"/>
          <w:szCs w:val="24"/>
        </w:rPr>
        <w:endnoteReference w:id="11"/>
      </w:r>
      <w:r w:rsidRPr="009D653B">
        <w:rPr>
          <w:lang w:val="es-ES"/>
        </w:rPr>
        <w:t xml:space="preserve"> </w:t>
      </w:r>
      <w:r w:rsidR="00F54503" w:rsidRPr="009D653B">
        <w:rPr>
          <w:lang w:val="es-ES"/>
        </w:rPr>
        <w:t>luego de su reconocimiento como un estado por la comunidad internacional</w:t>
      </w:r>
      <w:r w:rsidRPr="009D653B">
        <w:rPr>
          <w:lang w:val="es-ES"/>
        </w:rPr>
        <w:t>,</w:t>
      </w:r>
      <w:r w:rsidRPr="009D653B">
        <w:rPr>
          <w:rStyle w:val="EndnoteReference"/>
        </w:rPr>
        <w:endnoteReference w:id="12"/>
      </w:r>
      <w:r w:rsidR="005942C9" w:rsidRPr="009D653B">
        <w:rPr>
          <w:rFonts w:ascii="Calibri" w:eastAsia="Calibri" w:hAnsi="Calibri" w:cs="Calibri"/>
          <w:sz w:val="24"/>
          <w:szCs w:val="24"/>
          <w:lang w:val="es-ES"/>
        </w:rPr>
        <w:t> </w:t>
      </w:r>
    </w:p>
    <w:p w14:paraId="08929EC2" w14:textId="3E7C5FC6" w:rsidR="00A9634E" w:rsidRPr="009D653B" w:rsidRDefault="00A9634E" w:rsidP="008D4626">
      <w:pPr>
        <w:pStyle w:val="Normal1"/>
        <w:contextualSpacing w:val="0"/>
        <w:jc w:val="both"/>
        <w:rPr>
          <w:highlight w:val="yellow"/>
          <w:lang w:val="es-ES"/>
        </w:rPr>
      </w:pPr>
    </w:p>
    <w:p w14:paraId="7BE13AA3" w14:textId="0A15D86C" w:rsidR="00A9634E" w:rsidRPr="008D5B74" w:rsidRDefault="00A9634E" w:rsidP="008D4626">
      <w:pPr>
        <w:pStyle w:val="Normal1"/>
        <w:ind w:left="360"/>
        <w:contextualSpacing w:val="0"/>
        <w:jc w:val="both"/>
        <w:rPr>
          <w:lang w:val="es-ES"/>
        </w:rPr>
      </w:pPr>
      <w:r w:rsidRPr="008D5B74">
        <w:rPr>
          <w:i/>
        </w:rPr>
        <w:t xml:space="preserve">11.  </w:t>
      </w:r>
      <w:r w:rsidRPr="008D5B74">
        <w:rPr>
          <w:i/>
          <w:lang w:val="es-ES"/>
        </w:rPr>
        <w:t>Rec</w:t>
      </w:r>
      <w:r w:rsidR="00106D9C" w:rsidRPr="008D5B74">
        <w:rPr>
          <w:i/>
          <w:lang w:val="es-ES"/>
        </w:rPr>
        <w:t>ordando</w:t>
      </w:r>
      <w:r w:rsidRPr="008D5B74">
        <w:rPr>
          <w:i/>
          <w:lang w:val="es-ES"/>
        </w:rPr>
        <w:t xml:space="preserve"> </w:t>
      </w:r>
      <w:r w:rsidR="00855002" w:rsidRPr="008D5B74">
        <w:rPr>
          <w:lang w:val="es-ES"/>
        </w:rPr>
        <w:t xml:space="preserve">la apertura de un examen preliminar </w:t>
      </w:r>
      <w:r w:rsidR="008C13BD" w:rsidRPr="008D5B74">
        <w:rPr>
          <w:lang w:val="es-ES"/>
        </w:rPr>
        <w:t xml:space="preserve">por </w:t>
      </w:r>
      <w:r w:rsidR="009D653B" w:rsidRPr="008D5B74">
        <w:rPr>
          <w:lang w:val="es-ES"/>
        </w:rPr>
        <w:t xml:space="preserve">la </w:t>
      </w:r>
      <w:r w:rsidR="00EB4F29" w:rsidRPr="008D5B74">
        <w:rPr>
          <w:lang w:val="es-ES"/>
        </w:rPr>
        <w:t>Fiscalía el 16 de enero de 2015 sobre la situación en Palestina</w:t>
      </w:r>
      <w:r w:rsidRPr="008D5B74">
        <w:rPr>
          <w:lang w:val="es-ES"/>
        </w:rPr>
        <w:t>,</w:t>
      </w:r>
      <w:r w:rsidRPr="008D5B74">
        <w:rPr>
          <w:rStyle w:val="EndnoteReference"/>
        </w:rPr>
        <w:endnoteReference w:id="13"/>
      </w:r>
      <w:r w:rsidRPr="008D5B74">
        <w:rPr>
          <w:lang w:val="es-ES"/>
        </w:rPr>
        <w:t xml:space="preserve"> </w:t>
      </w:r>
      <w:r w:rsidR="00D23283" w:rsidRPr="008D5B74">
        <w:rPr>
          <w:lang w:val="es-ES"/>
        </w:rPr>
        <w:t>y la abrumadora evidencia aportada por organizaciones no gubernamentales palestinas e internacionales sobre “</w:t>
      </w:r>
      <w:r w:rsidR="008D5B74" w:rsidRPr="00F712E5">
        <w:rPr>
          <w:lang w:val="es-ES"/>
        </w:rPr>
        <w:t>crímenes pasados, presentes y futuros dentro de la jurisdicció</w:t>
      </w:r>
      <w:r w:rsidR="006F7B02" w:rsidRPr="00F712E5">
        <w:rPr>
          <w:lang w:val="es-ES"/>
        </w:rPr>
        <w:t>n de la Corte</w:t>
      </w:r>
      <w:r w:rsidR="008D5B74" w:rsidRPr="00F712E5">
        <w:rPr>
          <w:lang w:val="es-ES"/>
        </w:rPr>
        <w:t>, cometidos en todas las partes del territorio del Estado de Palestina</w:t>
      </w:r>
      <w:r w:rsidR="008D5B74" w:rsidRPr="008D5B74">
        <w:rPr>
          <w:lang w:val="es-ES"/>
        </w:rPr>
        <w:t>”</w:t>
      </w:r>
      <w:r w:rsidRPr="008D5B74">
        <w:rPr>
          <w:lang w:val="es-ES"/>
        </w:rPr>
        <w:t>,</w:t>
      </w:r>
      <w:r w:rsidRPr="008D5B74">
        <w:rPr>
          <w:rStyle w:val="EndnoteReference"/>
        </w:rPr>
        <w:endnoteReference w:id="14"/>
      </w:r>
      <w:r w:rsidRPr="008D5B74">
        <w:rPr>
          <w:lang w:val="es-ES"/>
        </w:rPr>
        <w:t xml:space="preserve">  </w:t>
      </w:r>
    </w:p>
    <w:p w14:paraId="0A9367F8" w14:textId="6A22774A" w:rsidR="00A9634E" w:rsidRPr="008D5B74" w:rsidRDefault="00A9634E" w:rsidP="008D4626">
      <w:pPr>
        <w:pStyle w:val="Normal1"/>
        <w:contextualSpacing w:val="0"/>
        <w:jc w:val="both"/>
        <w:rPr>
          <w:highlight w:val="yellow"/>
          <w:lang w:val="es-ES"/>
        </w:rPr>
      </w:pPr>
    </w:p>
    <w:p w14:paraId="3D16F470" w14:textId="0E029A90" w:rsidR="000E67D0" w:rsidRPr="00C22248" w:rsidRDefault="00A9634E" w:rsidP="00C22248">
      <w:pPr>
        <w:pStyle w:val="Normal1"/>
        <w:ind w:left="360"/>
        <w:contextualSpacing w:val="0"/>
        <w:jc w:val="both"/>
        <w:rPr>
          <w:lang w:val="es-ES"/>
        </w:rPr>
      </w:pPr>
      <w:r w:rsidRPr="00C22248">
        <w:rPr>
          <w:i/>
        </w:rPr>
        <w:t xml:space="preserve">12.  </w:t>
      </w:r>
      <w:r w:rsidRPr="00C22248">
        <w:rPr>
          <w:i/>
          <w:lang w:val="es-ES"/>
        </w:rPr>
        <w:t>Rec</w:t>
      </w:r>
      <w:r w:rsidR="00106D9C" w:rsidRPr="00C22248">
        <w:rPr>
          <w:i/>
          <w:lang w:val="es-ES"/>
        </w:rPr>
        <w:t>ordando</w:t>
      </w:r>
      <w:r w:rsidRPr="00C22248">
        <w:rPr>
          <w:i/>
          <w:lang w:val="es-ES"/>
        </w:rPr>
        <w:t xml:space="preserve"> </w:t>
      </w:r>
      <w:r w:rsidR="004D2D4E" w:rsidRPr="00C22248">
        <w:rPr>
          <w:lang w:val="es-ES"/>
        </w:rPr>
        <w:t>las obligaciones de la CPI</w:t>
      </w:r>
      <w:r w:rsidR="005117D4" w:rsidRPr="00C22248">
        <w:rPr>
          <w:lang w:val="es-ES"/>
        </w:rPr>
        <w:t xml:space="preserve"> de </w:t>
      </w:r>
      <w:r w:rsidR="000E67D0" w:rsidRPr="00C22248">
        <w:rPr>
          <w:lang w:val="es-ES"/>
        </w:rPr>
        <w:t>enjuiciar</w:t>
      </w:r>
      <w:r w:rsidR="0021617D" w:rsidRPr="00C22248">
        <w:rPr>
          <w:lang w:val="es-ES"/>
        </w:rPr>
        <w:t xml:space="preserve"> </w:t>
      </w:r>
      <w:r w:rsidR="0021617D" w:rsidRPr="00C22248">
        <w:rPr>
          <w:b/>
          <w:lang w:val="es-ES"/>
        </w:rPr>
        <w:t>ef</w:t>
      </w:r>
      <w:r w:rsidR="000E67D0" w:rsidRPr="00C22248">
        <w:rPr>
          <w:b/>
          <w:lang w:val="es-ES"/>
        </w:rPr>
        <w:t xml:space="preserve">icazmente </w:t>
      </w:r>
      <w:r w:rsidR="0021617D" w:rsidRPr="00C22248">
        <w:rPr>
          <w:lang w:val="es-ES"/>
        </w:rPr>
        <w:t xml:space="preserve">y aplicar e interpretar la ley de </w:t>
      </w:r>
      <w:r w:rsidR="000E67D0" w:rsidRPr="00C22248">
        <w:rPr>
          <w:lang w:val="es-ES"/>
        </w:rPr>
        <w:t>manera</w:t>
      </w:r>
      <w:r w:rsidR="0021617D" w:rsidRPr="00C22248">
        <w:rPr>
          <w:lang w:val="es-ES"/>
        </w:rPr>
        <w:t xml:space="preserve"> “</w:t>
      </w:r>
      <w:r w:rsidR="000E67D0" w:rsidRPr="00C22248">
        <w:rPr>
          <w:lang w:val="es-ES"/>
        </w:rPr>
        <w:t>coherente</w:t>
      </w:r>
      <w:r w:rsidR="0021617D" w:rsidRPr="00C22248">
        <w:rPr>
          <w:lang w:val="es-ES"/>
        </w:rPr>
        <w:t xml:space="preserve"> con los derechos humanos internacionalmente reconocidos”,</w:t>
      </w:r>
      <w:r w:rsidR="0021617D" w:rsidRPr="00C22248">
        <w:rPr>
          <w:rStyle w:val="EndnoteReference"/>
        </w:rPr>
        <w:endnoteReference w:id="15"/>
      </w:r>
      <w:r w:rsidR="0021617D" w:rsidRPr="00C22248">
        <w:rPr>
          <w:lang w:val="es-ES"/>
        </w:rPr>
        <w:t xml:space="preserve"> y a este respecto</w:t>
      </w:r>
      <w:r w:rsidR="00B84F83" w:rsidRPr="00C22248">
        <w:rPr>
          <w:lang w:val="es-ES"/>
        </w:rPr>
        <w:t xml:space="preserve"> </w:t>
      </w:r>
      <w:r w:rsidR="004F6F90" w:rsidRPr="00C22248">
        <w:rPr>
          <w:lang w:val="es-ES"/>
        </w:rPr>
        <w:t>destacar</w:t>
      </w:r>
      <w:r w:rsidR="00B84F83" w:rsidRPr="00C22248">
        <w:rPr>
          <w:lang w:val="es-ES"/>
        </w:rPr>
        <w:t xml:space="preserve"> el derecho de las víctimas palestinas </w:t>
      </w:r>
      <w:r w:rsidR="00945093" w:rsidRPr="00C22248">
        <w:rPr>
          <w:lang w:val="es-ES"/>
        </w:rPr>
        <w:t>a una investigación</w:t>
      </w:r>
      <w:r w:rsidR="00815E81" w:rsidRPr="00C22248">
        <w:rPr>
          <w:lang w:val="es-ES"/>
        </w:rPr>
        <w:t xml:space="preserve"> inmediata</w:t>
      </w:r>
      <w:r w:rsidR="00945093" w:rsidRPr="00C22248">
        <w:rPr>
          <w:lang w:val="es-ES"/>
        </w:rPr>
        <w:t>,</w:t>
      </w:r>
      <w:r w:rsidR="00945093" w:rsidRPr="00C22248">
        <w:rPr>
          <w:rStyle w:val="EndnoteReference"/>
        </w:rPr>
        <w:endnoteReference w:id="16"/>
      </w:r>
      <w:r w:rsidR="00945093" w:rsidRPr="00C22248">
        <w:rPr>
          <w:lang w:val="es-ES"/>
        </w:rPr>
        <w:t xml:space="preserve"> incluyendo </w:t>
      </w:r>
      <w:r w:rsidR="00A32BA7">
        <w:rPr>
          <w:lang w:val="es-ES"/>
        </w:rPr>
        <w:t xml:space="preserve">no sólo </w:t>
      </w:r>
      <w:r w:rsidR="00945093" w:rsidRPr="00C22248">
        <w:rPr>
          <w:lang w:val="es-ES"/>
        </w:rPr>
        <w:t>las examinaciones preliminares de la</w:t>
      </w:r>
      <w:r w:rsidR="00855002" w:rsidRPr="00C22248">
        <w:rPr>
          <w:lang w:val="es-ES"/>
        </w:rPr>
        <w:t xml:space="preserve"> </w:t>
      </w:r>
      <w:r w:rsidR="00564348" w:rsidRPr="00C22248">
        <w:rPr>
          <w:lang w:val="es-ES"/>
        </w:rPr>
        <w:t>Fiscalía</w:t>
      </w:r>
      <w:r w:rsidR="00A32BA7">
        <w:rPr>
          <w:lang w:val="es-ES"/>
        </w:rPr>
        <w:t>,</w:t>
      </w:r>
      <w:r w:rsidR="008D6E93" w:rsidRPr="00CD5407">
        <w:rPr>
          <w:lang w:val="es-ES"/>
        </w:rPr>
        <w:t xml:space="preserve"> </w:t>
      </w:r>
      <w:r w:rsidR="00A32BA7">
        <w:rPr>
          <w:lang w:val="es-ES"/>
        </w:rPr>
        <w:t xml:space="preserve">sino también </w:t>
      </w:r>
      <w:r w:rsidR="008D6E93" w:rsidRPr="00CD5407">
        <w:rPr>
          <w:lang w:val="es-ES"/>
        </w:rPr>
        <w:t xml:space="preserve">avanzando aún más para llevar a cabo investigaciones completas e iniciar </w:t>
      </w:r>
      <w:r w:rsidR="00C22248">
        <w:rPr>
          <w:lang w:val="es-ES"/>
        </w:rPr>
        <w:t>los procesos cuando corresponda</w:t>
      </w:r>
      <w:r w:rsidR="0071110F" w:rsidRPr="00C22248">
        <w:rPr>
          <w:lang w:val="es-ES"/>
        </w:rPr>
        <w:t>,</w:t>
      </w:r>
      <w:r w:rsidR="00757F68" w:rsidRPr="00C22248">
        <w:rPr>
          <w:lang w:val="es-ES"/>
        </w:rPr>
        <w:t xml:space="preserve"> </w:t>
      </w:r>
      <w:r w:rsidR="003817C1" w:rsidRPr="00C22248">
        <w:rPr>
          <w:lang w:val="es-ES"/>
        </w:rPr>
        <w:tab/>
      </w:r>
    </w:p>
    <w:p w14:paraId="5C78DED9" w14:textId="77777777" w:rsidR="009D2AEF" w:rsidRPr="00C22248" w:rsidRDefault="00757F68" w:rsidP="008D4626">
      <w:pPr>
        <w:pStyle w:val="Normal1"/>
        <w:contextualSpacing w:val="0"/>
        <w:jc w:val="both"/>
        <w:rPr>
          <w:highlight w:val="yellow"/>
          <w:lang w:val="es-ES"/>
        </w:rPr>
      </w:pPr>
      <w:r w:rsidRPr="00C22248">
        <w:rPr>
          <w:highlight w:val="yellow"/>
          <w:lang w:val="es-ES"/>
        </w:rPr>
        <w:t xml:space="preserve"> </w:t>
      </w:r>
    </w:p>
    <w:p w14:paraId="240A1502" w14:textId="7E36A8D7" w:rsidR="009D2AEF" w:rsidRPr="003C7A87" w:rsidRDefault="00757F68" w:rsidP="008D4626">
      <w:pPr>
        <w:pStyle w:val="Normal1"/>
        <w:ind w:left="360"/>
        <w:contextualSpacing w:val="0"/>
        <w:jc w:val="both"/>
        <w:rPr>
          <w:lang w:val="es-ES"/>
        </w:rPr>
      </w:pPr>
      <w:r w:rsidRPr="003C7A87">
        <w:rPr>
          <w:i/>
        </w:rPr>
        <w:t xml:space="preserve">13.  </w:t>
      </w:r>
      <w:r w:rsidR="00106D9C" w:rsidRPr="003C7A87">
        <w:rPr>
          <w:i/>
          <w:sz w:val="24"/>
          <w:szCs w:val="24"/>
          <w:lang w:val="es-ES"/>
        </w:rPr>
        <w:t>Yo</w:t>
      </w:r>
      <w:r w:rsidR="00D03A9C" w:rsidRPr="003C7A87">
        <w:rPr>
          <w:i/>
          <w:sz w:val="24"/>
          <w:szCs w:val="24"/>
          <w:lang w:val="es-ES"/>
        </w:rPr>
        <w:t xml:space="preserve"> </w:t>
      </w:r>
      <w:r w:rsidRPr="003C7A87">
        <w:rPr>
          <w:i/>
          <w:lang w:val="es-ES"/>
        </w:rPr>
        <w:t>Declar</w:t>
      </w:r>
      <w:r w:rsidR="00106D9C" w:rsidRPr="003C7A87">
        <w:rPr>
          <w:i/>
          <w:lang w:val="es-ES"/>
        </w:rPr>
        <w:t>o</w:t>
      </w:r>
      <w:r w:rsidRPr="003C7A87">
        <w:rPr>
          <w:i/>
          <w:lang w:val="es-ES"/>
        </w:rPr>
        <w:t xml:space="preserve"> </w:t>
      </w:r>
      <w:r w:rsidR="00BB12B7" w:rsidRPr="003C7A87">
        <w:rPr>
          <w:lang w:val="es-ES"/>
        </w:rPr>
        <w:t xml:space="preserve">que </w:t>
      </w:r>
      <w:r w:rsidR="000A50F8" w:rsidRPr="003C7A87">
        <w:rPr>
          <w:lang w:val="es-ES"/>
        </w:rPr>
        <w:t xml:space="preserve">la demora en la </w:t>
      </w:r>
      <w:r w:rsidR="00BB12B7" w:rsidRPr="003C7A87">
        <w:rPr>
          <w:lang w:val="es-ES"/>
        </w:rPr>
        <w:t>justicia</w:t>
      </w:r>
      <w:r w:rsidR="000A50F8" w:rsidRPr="003C7A87">
        <w:rPr>
          <w:lang w:val="es-ES"/>
        </w:rPr>
        <w:t xml:space="preserve"> es denegación de justicia</w:t>
      </w:r>
      <w:r w:rsidRPr="003C7A87">
        <w:rPr>
          <w:lang w:val="es-ES"/>
        </w:rPr>
        <w:t xml:space="preserve">, </w:t>
      </w:r>
      <w:r w:rsidR="007060CF" w:rsidRPr="003C7A87">
        <w:rPr>
          <w:lang w:val="es-ES"/>
        </w:rPr>
        <w:t xml:space="preserve">y </w:t>
      </w:r>
      <w:r w:rsidR="007060CF" w:rsidRPr="003C7A87">
        <w:rPr>
          <w:i/>
          <w:lang w:val="es-ES"/>
        </w:rPr>
        <w:t>Solicito</w:t>
      </w:r>
      <w:r w:rsidR="007060CF" w:rsidRPr="003C7A87">
        <w:rPr>
          <w:lang w:val="es-ES"/>
        </w:rPr>
        <w:t xml:space="preserve"> </w:t>
      </w:r>
      <w:r w:rsidR="000A50F8" w:rsidRPr="003C7A87">
        <w:rPr>
          <w:lang w:val="es-ES"/>
        </w:rPr>
        <w:t xml:space="preserve">a la </w:t>
      </w:r>
      <w:r w:rsidR="000A50F8" w:rsidRPr="009808F3">
        <w:rPr>
          <w:lang w:val="es-ES"/>
        </w:rPr>
        <w:t>Fiscal</w:t>
      </w:r>
      <w:r w:rsidR="00AB7DE6" w:rsidRPr="009808F3">
        <w:rPr>
          <w:lang w:val="es-ES"/>
        </w:rPr>
        <w:t>ía que avance de inmediato en la investigación y</w:t>
      </w:r>
      <w:r w:rsidR="009808F3">
        <w:rPr>
          <w:lang w:val="es-ES"/>
        </w:rPr>
        <w:t xml:space="preserve"> en la</w:t>
      </w:r>
      <w:r w:rsidR="00AB7DE6" w:rsidRPr="009808F3">
        <w:rPr>
          <w:lang w:val="es-ES"/>
        </w:rPr>
        <w:t xml:space="preserve"> remisión a la CPI </w:t>
      </w:r>
      <w:r w:rsidR="009808F3">
        <w:rPr>
          <w:lang w:val="es-ES"/>
        </w:rPr>
        <w:t xml:space="preserve">de </w:t>
      </w:r>
      <w:r w:rsidR="00AB7DE6" w:rsidRPr="009808F3">
        <w:rPr>
          <w:lang w:val="es-ES"/>
        </w:rPr>
        <w:t xml:space="preserve">las violaciones de Derecho Internacional Humanitario cometidas por los individuos que actúen o pretendan actuar en nombre del Estado de Israel, </w:t>
      </w:r>
      <w:r w:rsidR="003C7A87">
        <w:rPr>
          <w:lang w:val="es-ES"/>
        </w:rPr>
        <w:t xml:space="preserve">y </w:t>
      </w:r>
      <w:r w:rsidR="00AB7DE6" w:rsidRPr="009808F3">
        <w:rPr>
          <w:lang w:val="es-ES"/>
        </w:rPr>
        <w:t>que han ocurrido y contin</w:t>
      </w:r>
      <w:r w:rsidR="003C7A87">
        <w:rPr>
          <w:lang w:val="es-ES"/>
        </w:rPr>
        <w:t>ú</w:t>
      </w:r>
      <w:r w:rsidR="009808F3" w:rsidRPr="009808F3">
        <w:rPr>
          <w:lang w:val="es-ES"/>
        </w:rPr>
        <w:t>an ocurriendo dentro de la jurisdicción de la Corte</w:t>
      </w:r>
      <w:r w:rsidR="009808F3" w:rsidRPr="003C7A87">
        <w:rPr>
          <w:lang w:val="es-ES"/>
        </w:rPr>
        <w:t xml:space="preserve">. </w:t>
      </w:r>
      <w:r w:rsidR="00AB7DE6" w:rsidRPr="003C7A87">
        <w:rPr>
          <w:lang w:val="es-ES"/>
        </w:rPr>
        <w:t xml:space="preserve"> </w:t>
      </w:r>
    </w:p>
    <w:p w14:paraId="28FD924C" w14:textId="77777777" w:rsidR="00D03A9C" w:rsidRPr="003C7A87" w:rsidRDefault="00D03A9C">
      <w:pPr>
        <w:pStyle w:val="Normal1"/>
        <w:ind w:left="360"/>
        <w:contextualSpacing w:val="0"/>
        <w:rPr>
          <w:highlight w:val="yellow"/>
          <w:lang w:val="es-ES"/>
        </w:rPr>
      </w:pPr>
    </w:p>
    <w:p w14:paraId="559F5275" w14:textId="09233E66" w:rsidR="00B84139" w:rsidRPr="00F005AB" w:rsidRDefault="001201FA" w:rsidP="00B84139">
      <w:pPr>
        <w:pStyle w:val="Normal1"/>
        <w:ind w:left="360"/>
        <w:contextualSpacing w:val="0"/>
        <w:jc w:val="both"/>
        <w:rPr>
          <w:b/>
          <w:sz w:val="20"/>
          <w:szCs w:val="20"/>
          <w:lang w:val="es-ES"/>
        </w:rPr>
      </w:pPr>
      <w:r w:rsidRPr="00F005AB">
        <w:rPr>
          <w:b/>
          <w:sz w:val="20"/>
          <w:szCs w:val="20"/>
          <w:lang w:val="es-ES"/>
        </w:rPr>
        <w:t>P</w:t>
      </w:r>
      <w:r w:rsidR="00045BF2" w:rsidRPr="00F005AB">
        <w:rPr>
          <w:b/>
          <w:sz w:val="20"/>
          <w:szCs w:val="20"/>
          <w:lang w:val="es-ES"/>
        </w:rPr>
        <w:t xml:space="preserve">or favor, revisa cuidadosamente </w:t>
      </w:r>
      <w:r w:rsidR="00F005AB" w:rsidRPr="00F005AB">
        <w:rPr>
          <w:b/>
          <w:sz w:val="20"/>
          <w:szCs w:val="20"/>
          <w:lang w:val="es-ES"/>
        </w:rPr>
        <w:t>las casillas</w:t>
      </w:r>
      <w:r w:rsidR="00045BF2" w:rsidRPr="00F005AB">
        <w:rPr>
          <w:b/>
          <w:sz w:val="20"/>
          <w:szCs w:val="20"/>
          <w:lang w:val="es-ES"/>
        </w:rPr>
        <w:t xml:space="preserve"> </w:t>
      </w:r>
      <w:r w:rsidR="00F826CD" w:rsidRPr="00F005AB">
        <w:rPr>
          <w:b/>
          <w:sz w:val="20"/>
          <w:szCs w:val="20"/>
          <w:lang w:val="es-ES"/>
        </w:rPr>
        <w:t xml:space="preserve">a continuación </w:t>
      </w:r>
      <w:r w:rsidR="00F32C83" w:rsidRPr="00F005AB">
        <w:rPr>
          <w:b/>
          <w:sz w:val="20"/>
          <w:szCs w:val="20"/>
          <w:lang w:val="es-ES"/>
        </w:rPr>
        <w:t>(</w:t>
      </w:r>
      <w:r w:rsidR="00F826CD" w:rsidRPr="00F005AB">
        <w:rPr>
          <w:b/>
          <w:sz w:val="20"/>
          <w:szCs w:val="20"/>
          <w:lang w:val="es-ES"/>
        </w:rPr>
        <w:t>si no presta su consentimiento para que se comparta su nombre, no marque ninguna de las casillas)</w:t>
      </w:r>
      <w:r w:rsidRPr="00F005AB">
        <w:rPr>
          <w:b/>
          <w:sz w:val="20"/>
          <w:szCs w:val="20"/>
          <w:lang w:val="es-ES"/>
        </w:rPr>
        <w:t>:</w:t>
      </w:r>
    </w:p>
    <w:p w14:paraId="3814267C" w14:textId="05EBAC3D" w:rsidR="00B84139" w:rsidRPr="00F005AB" w:rsidRDefault="00B84139" w:rsidP="00B84139">
      <w:pPr>
        <w:pStyle w:val="Normal1"/>
        <w:ind w:left="1080"/>
        <w:contextualSpacing w:val="0"/>
        <w:jc w:val="both"/>
        <w:rPr>
          <w:b/>
          <w:sz w:val="20"/>
          <w:szCs w:val="20"/>
          <w:lang w:val="es-ES"/>
        </w:rPr>
      </w:pPr>
    </w:p>
    <w:p w14:paraId="28B3BE00" w14:textId="315BC703" w:rsidR="00B84139" w:rsidRPr="00F005AB" w:rsidRDefault="00F005AB" w:rsidP="00B84139">
      <w:pPr>
        <w:pStyle w:val="Normal1"/>
        <w:numPr>
          <w:ilvl w:val="0"/>
          <w:numId w:val="1"/>
        </w:numPr>
        <w:ind w:left="426"/>
        <w:contextualSpacing w:val="0"/>
        <w:jc w:val="both"/>
        <w:rPr>
          <w:b/>
          <w:sz w:val="20"/>
          <w:szCs w:val="20"/>
        </w:rPr>
      </w:pPr>
      <w:r w:rsidRPr="00F005AB">
        <w:rPr>
          <w:b/>
          <w:sz w:val="20"/>
          <w:szCs w:val="20"/>
          <w:lang w:val="es-ES"/>
        </w:rPr>
        <w:t>Presto mi consentimiento para que mi nombre sea compartido, como parte de la lista de signatarios, con la Fiscal de la Corte Penal Internacional.</w:t>
      </w:r>
    </w:p>
    <w:p w14:paraId="3D3B5835" w14:textId="55AAE1D7" w:rsidR="00B84139" w:rsidRPr="00F005AB" w:rsidRDefault="00F005AB" w:rsidP="00B84139">
      <w:pPr>
        <w:pStyle w:val="Normal1"/>
        <w:numPr>
          <w:ilvl w:val="0"/>
          <w:numId w:val="1"/>
        </w:numPr>
        <w:ind w:left="426"/>
        <w:contextualSpacing w:val="0"/>
        <w:jc w:val="both"/>
        <w:rPr>
          <w:b/>
          <w:sz w:val="20"/>
          <w:szCs w:val="20"/>
          <w:lang w:val="es-ES"/>
        </w:rPr>
      </w:pPr>
      <w:r w:rsidRPr="00F005AB">
        <w:rPr>
          <w:b/>
          <w:sz w:val="20"/>
          <w:szCs w:val="20"/>
          <w:lang w:val="es-ES"/>
        </w:rPr>
        <w:t>Presto mi consentimiento para que mi nombre sea publicado, como parte de la lista de signatarios, en la página web de IADL.</w:t>
      </w:r>
    </w:p>
    <w:p w14:paraId="7B076D7C" w14:textId="77777777" w:rsidR="001F572D" w:rsidRPr="00F005AB" w:rsidRDefault="001F572D">
      <w:pPr>
        <w:pStyle w:val="Normal1"/>
        <w:ind w:left="360"/>
        <w:contextualSpacing w:val="0"/>
        <w:rPr>
          <w:lang w:val="es-ES"/>
        </w:rPr>
      </w:pPr>
    </w:p>
    <w:p w14:paraId="22E224AF" w14:textId="0BA0385E" w:rsidR="00D03A9C" w:rsidRPr="00895A14" w:rsidRDefault="00A44D73">
      <w:pPr>
        <w:pStyle w:val="Normal1"/>
        <w:ind w:left="360"/>
        <w:contextualSpacing w:val="0"/>
        <w:rPr>
          <w:lang w:val="es-ES"/>
        </w:rPr>
      </w:pPr>
      <w:r w:rsidRPr="00895A14">
        <w:rPr>
          <w:lang w:val="es-ES"/>
        </w:rPr>
        <w:t>FIRMADO</w:t>
      </w:r>
      <w:r w:rsidR="00D03A9C" w:rsidRPr="00895A14">
        <w:rPr>
          <w:lang w:val="es-ES"/>
        </w:rPr>
        <w:t>: ………………………………………….....</w:t>
      </w:r>
      <w:r w:rsidR="00B84139" w:rsidRPr="00895A14">
        <w:rPr>
          <w:lang w:val="es-ES"/>
        </w:rPr>
        <w:t>.</w:t>
      </w:r>
    </w:p>
    <w:p w14:paraId="1C32AD26" w14:textId="77777777" w:rsidR="00F717DD" w:rsidRPr="00895A14" w:rsidRDefault="00F717DD">
      <w:pPr>
        <w:pStyle w:val="Normal1"/>
        <w:ind w:left="360"/>
        <w:contextualSpacing w:val="0"/>
        <w:rPr>
          <w:lang w:val="es-ES"/>
        </w:rPr>
      </w:pPr>
    </w:p>
    <w:p w14:paraId="5F293E34" w14:textId="2271CAED" w:rsidR="00F717DD" w:rsidRPr="00AA73D4" w:rsidRDefault="00A44D73">
      <w:pPr>
        <w:pStyle w:val="Normal1"/>
        <w:ind w:left="360"/>
        <w:contextualSpacing w:val="0"/>
        <w:rPr>
          <w:lang w:val="es-ES"/>
        </w:rPr>
      </w:pPr>
      <w:r w:rsidRPr="00AA73D4">
        <w:rPr>
          <w:lang w:val="es-ES"/>
        </w:rPr>
        <w:t>DIRECCIÓN DE CORREO ELECTRÓNICO</w:t>
      </w:r>
      <w:r>
        <w:rPr>
          <w:lang w:val="es-ES"/>
        </w:rPr>
        <w:t>:</w:t>
      </w:r>
      <w:r w:rsidR="00F717DD" w:rsidRPr="00AA73D4">
        <w:rPr>
          <w:lang w:val="es-ES"/>
        </w:rPr>
        <w:t xml:space="preserve"> …………………………………</w:t>
      </w:r>
      <w:r w:rsidR="001F572D" w:rsidRPr="00AA73D4">
        <w:rPr>
          <w:lang w:val="es-ES"/>
        </w:rPr>
        <w:t>.</w:t>
      </w:r>
    </w:p>
    <w:p w14:paraId="1D37361E" w14:textId="77777777" w:rsidR="00D03A9C" w:rsidRPr="00AA73D4" w:rsidRDefault="00D03A9C">
      <w:pPr>
        <w:pStyle w:val="Normal1"/>
        <w:ind w:left="360"/>
        <w:contextualSpacing w:val="0"/>
        <w:rPr>
          <w:lang w:val="es-ES"/>
        </w:rPr>
      </w:pPr>
    </w:p>
    <w:p w14:paraId="0E2EB3D6" w14:textId="684A4290" w:rsidR="00D03A9C" w:rsidRPr="00895A14" w:rsidRDefault="00A44D73">
      <w:pPr>
        <w:pStyle w:val="Normal1"/>
        <w:ind w:left="360"/>
        <w:contextualSpacing w:val="0"/>
        <w:rPr>
          <w:lang w:val="es-ES"/>
        </w:rPr>
      </w:pPr>
      <w:r w:rsidRPr="00895A14">
        <w:rPr>
          <w:lang w:val="es-ES"/>
        </w:rPr>
        <w:t>PROFESIÓN:</w:t>
      </w:r>
      <w:r w:rsidR="00D03A9C" w:rsidRPr="00895A14">
        <w:rPr>
          <w:lang w:val="es-ES"/>
        </w:rPr>
        <w:t xml:space="preserve"> ……………………………………...</w:t>
      </w:r>
    </w:p>
    <w:p w14:paraId="6A23D039" w14:textId="77777777" w:rsidR="00D03A9C" w:rsidRPr="00895A14" w:rsidRDefault="00D03A9C">
      <w:pPr>
        <w:pStyle w:val="Normal1"/>
        <w:ind w:left="360"/>
        <w:contextualSpacing w:val="0"/>
        <w:rPr>
          <w:lang w:val="es-ES"/>
        </w:rPr>
      </w:pPr>
    </w:p>
    <w:p w14:paraId="5B0ADA98" w14:textId="7C03E0A3" w:rsidR="00D03A9C" w:rsidRPr="00AA73D4" w:rsidRDefault="00530587">
      <w:pPr>
        <w:pStyle w:val="Normal1"/>
        <w:ind w:left="360"/>
        <w:contextualSpacing w:val="0"/>
        <w:rPr>
          <w:lang w:val="es-ES"/>
        </w:rPr>
      </w:pPr>
      <w:r w:rsidRPr="00AA73D4">
        <w:rPr>
          <w:lang w:val="es-ES"/>
        </w:rPr>
        <w:t>MIEMBRO DE</w:t>
      </w:r>
      <w:r w:rsidR="00F717DD" w:rsidRPr="00AA73D4">
        <w:rPr>
          <w:lang w:val="es-ES"/>
        </w:rPr>
        <w:t>:</w:t>
      </w:r>
      <w:r w:rsidR="00895A14">
        <w:rPr>
          <w:lang w:val="es-ES"/>
        </w:rPr>
        <w:t xml:space="preserve"> …………………………………</w:t>
      </w:r>
      <w:r w:rsidR="00D03A9C" w:rsidRPr="00AA73D4">
        <w:rPr>
          <w:lang w:val="es-ES"/>
        </w:rPr>
        <w:t>.</w:t>
      </w:r>
      <w:r w:rsidR="00895A14">
        <w:rPr>
          <w:lang w:val="es-ES"/>
        </w:rPr>
        <w:t xml:space="preserve"> </w:t>
      </w:r>
      <w:r w:rsidR="00D03A9C" w:rsidRPr="00AA73D4">
        <w:rPr>
          <w:lang w:val="es-ES"/>
        </w:rPr>
        <w:t>(</w:t>
      </w:r>
      <w:r w:rsidRPr="00AA73D4">
        <w:rPr>
          <w:lang w:val="es-ES"/>
        </w:rPr>
        <w:t>Opcional,</w:t>
      </w:r>
      <w:r w:rsidR="0099324B" w:rsidRPr="00AA73D4">
        <w:rPr>
          <w:lang w:val="es-ES"/>
        </w:rPr>
        <w:t xml:space="preserve"> solo a efectos de identificaci</w:t>
      </w:r>
      <w:r w:rsidR="0099324B">
        <w:rPr>
          <w:lang w:val="es-ES"/>
        </w:rPr>
        <w:t>ón</w:t>
      </w:r>
      <w:r w:rsidR="00D03A9C" w:rsidRPr="00AA73D4">
        <w:rPr>
          <w:lang w:val="es-ES"/>
        </w:rPr>
        <w:t>)</w:t>
      </w:r>
    </w:p>
    <w:p w14:paraId="31D4AFF7" w14:textId="77777777" w:rsidR="009D2AEF" w:rsidRPr="00AA73D4" w:rsidRDefault="009D2AEF" w:rsidP="002F3D72">
      <w:pPr>
        <w:pStyle w:val="Normal1"/>
        <w:contextualSpacing w:val="0"/>
        <w:rPr>
          <w:lang w:val="es-ES"/>
        </w:rPr>
      </w:pPr>
    </w:p>
    <w:p w14:paraId="476F6016" w14:textId="77777777" w:rsidR="009D2AEF" w:rsidRPr="00AA73D4" w:rsidRDefault="009D2AEF">
      <w:pPr>
        <w:pStyle w:val="Normal1"/>
        <w:contextualSpacing w:val="0"/>
        <w:rPr>
          <w:lang w:val="es-ES"/>
        </w:rPr>
      </w:pPr>
    </w:p>
    <w:sectPr w:rsidR="009D2AEF" w:rsidRPr="00AA73D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4E42" w14:textId="77777777" w:rsidR="001A3F8C" w:rsidRDefault="001A3F8C">
      <w:pPr>
        <w:spacing w:line="240" w:lineRule="auto"/>
      </w:pPr>
      <w:r>
        <w:separator/>
      </w:r>
    </w:p>
  </w:endnote>
  <w:endnote w:type="continuationSeparator" w:id="0">
    <w:p w14:paraId="78E843CC" w14:textId="77777777" w:rsidR="001A3F8C" w:rsidRDefault="001A3F8C">
      <w:pPr>
        <w:spacing w:line="240" w:lineRule="auto"/>
      </w:pPr>
      <w:r>
        <w:continuationSeparator/>
      </w:r>
    </w:p>
  </w:endnote>
  <w:endnote w:id="1">
    <w:p w14:paraId="3F3DA4E6" w14:textId="4A8CC73C" w:rsidR="001201FA" w:rsidRPr="00AA73D4" w:rsidRDefault="001201FA" w:rsidP="00895A14">
      <w:pPr>
        <w:pStyle w:val="EndnoteText"/>
        <w:jc w:val="both"/>
        <w:rPr>
          <w:sz w:val="20"/>
          <w:szCs w:val="20"/>
          <w:lang w:val="es-ES"/>
        </w:rPr>
      </w:pPr>
      <w:r w:rsidRPr="002F3D72">
        <w:rPr>
          <w:rStyle w:val="EndnoteReference"/>
          <w:sz w:val="20"/>
          <w:szCs w:val="20"/>
        </w:rPr>
        <w:endnoteRef/>
      </w:r>
      <w:r w:rsidRPr="00AA73D4">
        <w:rPr>
          <w:sz w:val="20"/>
          <w:szCs w:val="20"/>
          <w:lang w:val="es-ES"/>
        </w:rPr>
        <w:t xml:space="preserve"> </w:t>
      </w:r>
      <w:r w:rsidR="002B7B7D" w:rsidRPr="00AA73D4">
        <w:rPr>
          <w:sz w:val="20"/>
          <w:szCs w:val="20"/>
          <w:lang w:val="es-ES"/>
        </w:rPr>
        <w:t xml:space="preserve">Declaración Universal de los Derechos Humanos, </w:t>
      </w:r>
      <w:r w:rsidR="002B7B7D">
        <w:rPr>
          <w:sz w:val="20"/>
          <w:szCs w:val="20"/>
          <w:lang w:val="es-ES"/>
        </w:rPr>
        <w:t>Preámbulo</w:t>
      </w:r>
      <w:r w:rsidR="00895A14">
        <w:rPr>
          <w:sz w:val="20"/>
          <w:szCs w:val="20"/>
          <w:lang w:val="es-ES"/>
        </w:rPr>
        <w:t>.</w:t>
      </w:r>
    </w:p>
  </w:endnote>
  <w:endnote w:id="2">
    <w:p w14:paraId="45B33ACD" w14:textId="35701C98" w:rsidR="00547CD3" w:rsidRPr="00F712E5" w:rsidRDefault="001201FA" w:rsidP="00895A14">
      <w:pPr>
        <w:pStyle w:val="Normal1"/>
        <w:contextualSpacing w:val="0"/>
        <w:jc w:val="both"/>
        <w:rPr>
          <w:rFonts w:eastAsia="Times New Roman"/>
          <w:sz w:val="20"/>
          <w:szCs w:val="20"/>
          <w:lang w:val="es-ES"/>
        </w:rPr>
      </w:pPr>
      <w:r w:rsidRPr="00EF3C2D">
        <w:rPr>
          <w:rStyle w:val="EndnoteReference"/>
          <w:sz w:val="20"/>
          <w:szCs w:val="20"/>
        </w:rPr>
        <w:endnoteRef/>
      </w:r>
      <w:r w:rsidRPr="00AA73D4">
        <w:rPr>
          <w:sz w:val="20"/>
          <w:szCs w:val="20"/>
          <w:lang w:val="es-ES"/>
        </w:rPr>
        <w:t xml:space="preserve"> </w:t>
      </w:r>
      <w:r w:rsidR="00A13EE4" w:rsidRPr="00AA73D4">
        <w:rPr>
          <w:sz w:val="20"/>
          <w:szCs w:val="20"/>
          <w:lang w:val="es-ES"/>
        </w:rPr>
        <w:t>Principios de Derecho Internacio</w:t>
      </w:r>
      <w:r w:rsidR="00F350A4" w:rsidRPr="00F350A4">
        <w:rPr>
          <w:sz w:val="20"/>
          <w:szCs w:val="20"/>
          <w:lang w:val="es-ES"/>
        </w:rPr>
        <w:t>nal reconocidos por</w:t>
      </w:r>
      <w:r w:rsidR="00A13EE4" w:rsidRPr="00AA73D4">
        <w:rPr>
          <w:sz w:val="20"/>
          <w:szCs w:val="20"/>
          <w:lang w:val="es-ES"/>
        </w:rPr>
        <w:t xml:space="preserve"> el Estatuto </w:t>
      </w:r>
      <w:r w:rsidR="00F350A4">
        <w:rPr>
          <w:sz w:val="20"/>
          <w:szCs w:val="20"/>
          <w:lang w:val="es-ES"/>
        </w:rPr>
        <w:t>y por las sentencias</w:t>
      </w:r>
      <w:r w:rsidR="00A13EE4">
        <w:rPr>
          <w:sz w:val="20"/>
          <w:szCs w:val="20"/>
          <w:lang w:val="es-ES"/>
        </w:rPr>
        <w:t xml:space="preserve"> del Tribunal</w:t>
      </w:r>
      <w:r w:rsidR="00F350A4">
        <w:rPr>
          <w:sz w:val="20"/>
          <w:szCs w:val="20"/>
          <w:lang w:val="es-ES"/>
        </w:rPr>
        <w:t xml:space="preserve"> de Nuremberg</w:t>
      </w:r>
      <w:r w:rsidRPr="00AA73D4">
        <w:rPr>
          <w:sz w:val="20"/>
          <w:szCs w:val="20"/>
          <w:lang w:val="es-ES"/>
        </w:rPr>
        <w:t xml:space="preserve">, </w:t>
      </w:r>
      <w:r w:rsidR="00566F7C">
        <w:rPr>
          <w:sz w:val="20"/>
          <w:szCs w:val="20"/>
          <w:lang w:val="es-ES"/>
        </w:rPr>
        <w:t>Comisión de Derecho Internacional</w:t>
      </w:r>
      <w:r w:rsidRPr="00AA73D4">
        <w:rPr>
          <w:sz w:val="20"/>
          <w:szCs w:val="20"/>
          <w:lang w:val="es-ES"/>
        </w:rPr>
        <w:t xml:space="preserve"> (</w:t>
      </w:r>
      <w:r w:rsidR="00566F7C">
        <w:rPr>
          <w:sz w:val="20"/>
          <w:szCs w:val="20"/>
          <w:lang w:val="es-ES"/>
        </w:rPr>
        <w:t>Principios de Nuremberg</w:t>
      </w:r>
      <w:r w:rsidR="00895A14">
        <w:rPr>
          <w:sz w:val="20"/>
          <w:szCs w:val="20"/>
          <w:lang w:val="es-ES"/>
        </w:rPr>
        <w:t>)</w:t>
      </w:r>
      <w:r w:rsidRPr="00AA73D4">
        <w:rPr>
          <w:sz w:val="20"/>
          <w:szCs w:val="20"/>
          <w:lang w:val="es-ES"/>
        </w:rPr>
        <w:t xml:space="preserve"> – </w:t>
      </w:r>
      <w:r w:rsidR="00566F7C">
        <w:rPr>
          <w:sz w:val="20"/>
          <w:szCs w:val="20"/>
          <w:lang w:val="es-ES"/>
        </w:rPr>
        <w:t>Aprob</w:t>
      </w:r>
      <w:r w:rsidR="00AA73D4">
        <w:rPr>
          <w:sz w:val="20"/>
          <w:szCs w:val="20"/>
          <w:lang w:val="es-ES"/>
        </w:rPr>
        <w:t xml:space="preserve">ados por la Asamblea General en la Resolución </w:t>
      </w:r>
      <w:r w:rsidRPr="00AA73D4">
        <w:rPr>
          <w:sz w:val="20"/>
          <w:szCs w:val="20"/>
          <w:lang w:val="es-ES"/>
        </w:rPr>
        <w:t>95(I).</w:t>
      </w:r>
      <w:r w:rsidR="00916492">
        <w:rPr>
          <w:sz w:val="20"/>
          <w:szCs w:val="20"/>
          <w:lang w:val="es-ES"/>
        </w:rPr>
        <w:t xml:space="preserve"> </w:t>
      </w:r>
      <w:r w:rsidR="00401B30">
        <w:rPr>
          <w:sz w:val="20"/>
          <w:szCs w:val="20"/>
          <w:lang w:val="es-ES"/>
        </w:rPr>
        <w:t>Se considera que</w:t>
      </w:r>
      <w:r w:rsidR="00683AD1" w:rsidRPr="00EB0B55">
        <w:rPr>
          <w:sz w:val="20"/>
          <w:szCs w:val="20"/>
          <w:lang w:val="es-ES"/>
        </w:rPr>
        <w:t xml:space="preserve"> Estatuto de Nuremberg </w:t>
      </w:r>
      <w:r w:rsidR="00401B30">
        <w:rPr>
          <w:sz w:val="20"/>
          <w:szCs w:val="20"/>
          <w:lang w:val="es-ES"/>
        </w:rPr>
        <w:t>refleja</w:t>
      </w:r>
      <w:r w:rsidR="00683AD1" w:rsidRPr="00916492">
        <w:rPr>
          <w:sz w:val="20"/>
          <w:szCs w:val="20"/>
          <w:lang w:val="es-ES"/>
        </w:rPr>
        <w:t xml:space="preserve"> der</w:t>
      </w:r>
      <w:r w:rsidR="00610EFE">
        <w:rPr>
          <w:sz w:val="20"/>
          <w:szCs w:val="20"/>
          <w:lang w:val="es-ES"/>
        </w:rPr>
        <w:t>echo internacional consuetudinar</w:t>
      </w:r>
      <w:r w:rsidR="00683AD1" w:rsidRPr="00916492">
        <w:rPr>
          <w:sz w:val="20"/>
          <w:szCs w:val="20"/>
          <w:lang w:val="es-ES"/>
        </w:rPr>
        <w:t>io (</w:t>
      </w:r>
      <w:r w:rsidR="00256BE1" w:rsidRPr="00916492">
        <w:rPr>
          <w:rFonts w:eastAsia="Times New Roman"/>
          <w:i/>
          <w:sz w:val="20"/>
          <w:szCs w:val="20"/>
          <w:lang w:val="es-ES"/>
        </w:rPr>
        <w:t>Ver:</w:t>
      </w:r>
      <w:r w:rsidRPr="00916492">
        <w:rPr>
          <w:rFonts w:eastAsia="Times New Roman"/>
          <w:i/>
          <w:sz w:val="20"/>
          <w:szCs w:val="20"/>
          <w:lang w:val="es-ES"/>
        </w:rPr>
        <w:t xml:space="preserve"> </w:t>
      </w:r>
      <w:r w:rsidRPr="00916492">
        <w:rPr>
          <w:rStyle w:val="Emphasis"/>
          <w:rFonts w:eastAsia="Times New Roman"/>
          <w:sz w:val="20"/>
          <w:szCs w:val="20"/>
          <w:lang w:val="es-ES"/>
        </w:rPr>
        <w:t>Tadić</w:t>
      </w:r>
      <w:r w:rsidRPr="00916492">
        <w:rPr>
          <w:rFonts w:eastAsia="Times New Roman"/>
          <w:sz w:val="20"/>
          <w:szCs w:val="20"/>
          <w:lang w:val="es-ES"/>
        </w:rPr>
        <w:t>, Opini</w:t>
      </w:r>
      <w:r w:rsidR="00E616B7" w:rsidRPr="00F712E5">
        <w:rPr>
          <w:rFonts w:eastAsia="Times New Roman"/>
          <w:sz w:val="20"/>
          <w:szCs w:val="20"/>
          <w:lang w:val="es-ES"/>
        </w:rPr>
        <w:t>ó</w:t>
      </w:r>
      <w:r w:rsidRPr="00916492">
        <w:rPr>
          <w:rFonts w:eastAsia="Times New Roman"/>
          <w:sz w:val="20"/>
          <w:szCs w:val="20"/>
          <w:lang w:val="es-ES"/>
        </w:rPr>
        <w:t xml:space="preserve">n </w:t>
      </w:r>
      <w:r w:rsidR="00E616B7" w:rsidRPr="00F712E5">
        <w:rPr>
          <w:rFonts w:eastAsia="Times New Roman"/>
          <w:sz w:val="20"/>
          <w:szCs w:val="20"/>
          <w:lang w:val="es-ES"/>
        </w:rPr>
        <w:t>y Sentencia</w:t>
      </w:r>
      <w:r w:rsidRPr="00916492">
        <w:rPr>
          <w:rFonts w:eastAsia="Times New Roman"/>
          <w:sz w:val="20"/>
          <w:szCs w:val="20"/>
          <w:lang w:val="es-ES"/>
        </w:rPr>
        <w:t>, Trial Chamber, 7 May</w:t>
      </w:r>
      <w:r w:rsidR="00E616B7" w:rsidRPr="00F712E5">
        <w:rPr>
          <w:rFonts w:eastAsia="Times New Roman"/>
          <w:sz w:val="20"/>
          <w:szCs w:val="20"/>
          <w:lang w:val="es-ES"/>
        </w:rPr>
        <w:t>o</w:t>
      </w:r>
      <w:r w:rsidR="00CD6F1F">
        <w:rPr>
          <w:rFonts w:eastAsia="Times New Roman"/>
          <w:sz w:val="20"/>
          <w:szCs w:val="20"/>
          <w:lang w:val="es-ES"/>
        </w:rPr>
        <w:t xml:space="preserve"> 1997, párr</w:t>
      </w:r>
      <w:r w:rsidRPr="00916492">
        <w:rPr>
          <w:rFonts w:eastAsia="Times New Roman"/>
          <w:sz w:val="20"/>
          <w:szCs w:val="20"/>
          <w:lang w:val="es-ES"/>
        </w:rPr>
        <w:t xml:space="preserve">. 623; </w:t>
      </w:r>
      <w:r w:rsidR="00E616B7" w:rsidRPr="00916492">
        <w:rPr>
          <w:rFonts w:eastAsia="Times New Roman"/>
          <w:sz w:val="20"/>
          <w:szCs w:val="20"/>
          <w:lang w:val="es-ES"/>
        </w:rPr>
        <w:t>y</w:t>
      </w:r>
      <w:r w:rsidRPr="00916492">
        <w:rPr>
          <w:rFonts w:eastAsia="Times New Roman"/>
          <w:sz w:val="20"/>
          <w:szCs w:val="20"/>
          <w:lang w:val="es-ES"/>
        </w:rPr>
        <w:t xml:space="preserve"> </w:t>
      </w:r>
      <w:r w:rsidRPr="00916492">
        <w:rPr>
          <w:rStyle w:val="Emphasis"/>
          <w:rFonts w:eastAsia="Times New Roman"/>
          <w:sz w:val="20"/>
          <w:szCs w:val="20"/>
          <w:lang w:val="es-ES"/>
        </w:rPr>
        <w:t>Tadić</w:t>
      </w:r>
      <w:r w:rsidRPr="00916492">
        <w:rPr>
          <w:rFonts w:eastAsia="Times New Roman"/>
          <w:sz w:val="20"/>
          <w:szCs w:val="20"/>
          <w:lang w:val="es-ES"/>
        </w:rPr>
        <w:t>, Decisi</w:t>
      </w:r>
      <w:r w:rsidR="008545F4" w:rsidRPr="00916492">
        <w:rPr>
          <w:rFonts w:eastAsia="Times New Roman"/>
          <w:sz w:val="20"/>
          <w:szCs w:val="20"/>
          <w:lang w:val="es-ES"/>
        </w:rPr>
        <w:t>ó</w:t>
      </w:r>
      <w:r w:rsidRPr="00916492">
        <w:rPr>
          <w:rFonts w:eastAsia="Times New Roman"/>
          <w:sz w:val="20"/>
          <w:szCs w:val="20"/>
          <w:lang w:val="es-ES"/>
        </w:rPr>
        <w:t>n</w:t>
      </w:r>
      <w:r w:rsidR="008545F4" w:rsidRPr="00916492">
        <w:rPr>
          <w:rFonts w:eastAsia="Times New Roman"/>
          <w:sz w:val="20"/>
          <w:szCs w:val="20"/>
          <w:lang w:val="es-ES"/>
        </w:rPr>
        <w:t xml:space="preserve"> sobre la Solicitud de Defensa en Apelación Interlocutoria sobre Jurisdicción</w:t>
      </w:r>
      <w:r w:rsidRPr="00916492">
        <w:rPr>
          <w:rFonts w:eastAsia="Times New Roman"/>
          <w:sz w:val="20"/>
          <w:szCs w:val="20"/>
          <w:lang w:val="es-ES"/>
        </w:rPr>
        <w:t xml:space="preserve">, Appeals Chamber, 2 </w:t>
      </w:r>
      <w:r w:rsidR="005D6D9C" w:rsidRPr="00F712E5">
        <w:rPr>
          <w:rFonts w:eastAsia="Times New Roman"/>
          <w:sz w:val="20"/>
          <w:szCs w:val="20"/>
          <w:lang w:val="es-ES"/>
        </w:rPr>
        <w:t xml:space="preserve">Octubre </w:t>
      </w:r>
      <w:r w:rsidR="00CD6F1F">
        <w:rPr>
          <w:rFonts w:eastAsia="Times New Roman"/>
          <w:sz w:val="20"/>
          <w:szCs w:val="20"/>
          <w:lang w:val="es-ES"/>
        </w:rPr>
        <w:t>1995, párr</w:t>
      </w:r>
      <w:r w:rsidRPr="00916492">
        <w:rPr>
          <w:rFonts w:eastAsia="Times New Roman"/>
          <w:sz w:val="20"/>
          <w:szCs w:val="20"/>
          <w:lang w:val="es-ES"/>
        </w:rPr>
        <w:t xml:space="preserve">. </w:t>
      </w:r>
      <w:r w:rsidRPr="00CD6F1F">
        <w:rPr>
          <w:rFonts w:eastAsia="Times New Roman"/>
          <w:sz w:val="20"/>
          <w:szCs w:val="20"/>
          <w:lang w:val="es-ES"/>
        </w:rPr>
        <w:t>141).</w:t>
      </w:r>
      <w:r w:rsidRPr="00CD6F1F">
        <w:rPr>
          <w:sz w:val="20"/>
          <w:szCs w:val="20"/>
          <w:lang w:val="es-ES"/>
        </w:rPr>
        <w:t xml:space="preserve"> </w:t>
      </w:r>
      <w:r w:rsidR="005D6D9C" w:rsidRPr="00916492">
        <w:rPr>
          <w:rFonts w:eastAsia="Times New Roman"/>
          <w:sz w:val="20"/>
          <w:szCs w:val="20"/>
          <w:lang w:val="es-ES"/>
        </w:rPr>
        <w:t>En el caso</w:t>
      </w:r>
      <w:r w:rsidRPr="00916492">
        <w:rPr>
          <w:rFonts w:eastAsia="Times New Roman"/>
          <w:sz w:val="20"/>
          <w:szCs w:val="20"/>
          <w:lang w:val="es-ES"/>
        </w:rPr>
        <w:t xml:space="preserve"> </w:t>
      </w:r>
      <w:r w:rsidRPr="00916492">
        <w:rPr>
          <w:rStyle w:val="Emphasis"/>
          <w:rFonts w:eastAsia="Times New Roman"/>
          <w:sz w:val="20"/>
          <w:szCs w:val="20"/>
          <w:lang w:val="es-ES"/>
        </w:rPr>
        <w:t>Eichmann</w:t>
      </w:r>
      <w:r w:rsidRPr="00916492">
        <w:rPr>
          <w:rFonts w:eastAsia="Times New Roman"/>
          <w:sz w:val="20"/>
          <w:szCs w:val="20"/>
          <w:lang w:val="es-ES"/>
        </w:rPr>
        <w:t xml:space="preserve"> </w:t>
      </w:r>
      <w:r w:rsidR="00547CD3">
        <w:rPr>
          <w:rFonts w:eastAsia="Times New Roman"/>
          <w:sz w:val="20"/>
          <w:szCs w:val="20"/>
          <w:lang w:val="es-ES"/>
        </w:rPr>
        <w:t>el Tribunal Supremo</w:t>
      </w:r>
      <w:r w:rsidR="005D6D9C" w:rsidRPr="00916492">
        <w:rPr>
          <w:rFonts w:eastAsia="Times New Roman"/>
          <w:sz w:val="20"/>
          <w:szCs w:val="20"/>
          <w:lang w:val="es-ES"/>
        </w:rPr>
        <w:t xml:space="preserve"> </w:t>
      </w:r>
      <w:r w:rsidR="00A807DF" w:rsidRPr="00916492">
        <w:rPr>
          <w:rFonts w:eastAsia="Times New Roman"/>
          <w:sz w:val="20"/>
          <w:szCs w:val="20"/>
          <w:lang w:val="es-ES"/>
        </w:rPr>
        <w:t>de Israel</w:t>
      </w:r>
      <w:r w:rsidR="005D6D9C" w:rsidRPr="00916492">
        <w:rPr>
          <w:rFonts w:eastAsia="Times New Roman"/>
          <w:sz w:val="20"/>
          <w:szCs w:val="20"/>
          <w:lang w:val="es-ES"/>
        </w:rPr>
        <w:t xml:space="preserve"> sostuvo</w:t>
      </w:r>
      <w:r w:rsidR="00A807DF" w:rsidRPr="00916492">
        <w:rPr>
          <w:rFonts w:eastAsia="Times New Roman"/>
          <w:sz w:val="20"/>
          <w:szCs w:val="20"/>
          <w:lang w:val="es-ES"/>
        </w:rPr>
        <w:t xml:space="preserve"> que la Resolución 95(I) de la Asamblea General </w:t>
      </w:r>
      <w:r w:rsidR="00401B30" w:rsidRPr="00547CD3">
        <w:rPr>
          <w:rFonts w:eastAsia="Times New Roman"/>
          <w:sz w:val="20"/>
          <w:szCs w:val="20"/>
          <w:lang w:val="es-ES"/>
        </w:rPr>
        <w:t xml:space="preserve">evidencia </w:t>
      </w:r>
      <w:r w:rsidR="00547CD3">
        <w:rPr>
          <w:rFonts w:eastAsia="Times New Roman"/>
          <w:sz w:val="20"/>
          <w:szCs w:val="20"/>
          <w:lang w:val="es-ES"/>
        </w:rPr>
        <w:t>que</w:t>
      </w:r>
      <w:r w:rsidR="00A807DF" w:rsidRPr="00916492">
        <w:rPr>
          <w:rFonts w:eastAsia="Times New Roman"/>
          <w:sz w:val="20"/>
          <w:szCs w:val="20"/>
          <w:lang w:val="es-ES"/>
        </w:rPr>
        <w:t xml:space="preserve"> los principios de Nuremberg</w:t>
      </w:r>
      <w:r w:rsidR="00EB0B55" w:rsidRPr="00916492">
        <w:rPr>
          <w:rFonts w:eastAsia="Times New Roman"/>
          <w:sz w:val="20"/>
          <w:szCs w:val="20"/>
          <w:lang w:val="es-ES"/>
        </w:rPr>
        <w:t xml:space="preserve"> forman parte del derecho internacional consuetudinario.</w:t>
      </w:r>
      <w:r w:rsidR="00547CD3">
        <w:rPr>
          <w:rFonts w:eastAsia="Times New Roman"/>
          <w:sz w:val="20"/>
          <w:szCs w:val="20"/>
          <w:lang w:val="es-ES"/>
        </w:rPr>
        <w:t xml:space="preserve"> </w:t>
      </w:r>
      <w:r w:rsidR="00CD6F1F">
        <w:rPr>
          <w:rFonts w:eastAsia="Times New Roman"/>
          <w:sz w:val="20"/>
          <w:szCs w:val="20"/>
          <w:lang w:val="es-ES"/>
        </w:rPr>
        <w:t>Según el Tribunal</w:t>
      </w:r>
      <w:r w:rsidR="00547CD3" w:rsidRPr="003237C5">
        <w:rPr>
          <w:rFonts w:eastAsia="Times New Roman"/>
          <w:sz w:val="20"/>
          <w:szCs w:val="20"/>
          <w:lang w:val="es-ES"/>
        </w:rPr>
        <w:t>, “</w:t>
      </w:r>
      <w:r w:rsidR="00547CD3" w:rsidRPr="00916492">
        <w:rPr>
          <w:rFonts w:eastAsia="Times New Roman"/>
          <w:sz w:val="20"/>
          <w:szCs w:val="20"/>
          <w:lang w:val="es-ES"/>
        </w:rPr>
        <w:t>si hubiera</w:t>
      </w:r>
      <w:r w:rsidR="00547CD3" w:rsidRPr="003237C5">
        <w:rPr>
          <w:rFonts w:eastAsia="Times New Roman"/>
          <w:sz w:val="20"/>
          <w:szCs w:val="20"/>
          <w:lang w:val="es-ES"/>
        </w:rPr>
        <w:t xml:space="preserve"> alguna duda </w:t>
      </w:r>
      <w:r w:rsidR="003237C5" w:rsidRPr="00916492">
        <w:rPr>
          <w:rFonts w:eastAsia="Times New Roman"/>
          <w:sz w:val="20"/>
          <w:szCs w:val="20"/>
          <w:lang w:val="es-ES"/>
        </w:rPr>
        <w:t xml:space="preserve">sobre esta evaluación de los Principios de Nuremberg como los principios que han formado parte del derecho internacional consuetudinario “desde tiempos </w:t>
      </w:r>
      <w:r w:rsidR="00F712E5" w:rsidRPr="00916492">
        <w:rPr>
          <w:rFonts w:eastAsia="Times New Roman"/>
          <w:sz w:val="20"/>
          <w:szCs w:val="20"/>
          <w:lang w:val="es-ES"/>
        </w:rPr>
        <w:t>inmemoriales</w:t>
      </w:r>
      <w:r w:rsidR="003237C5" w:rsidRPr="00916492">
        <w:rPr>
          <w:rFonts w:eastAsia="Times New Roman"/>
          <w:sz w:val="20"/>
          <w:szCs w:val="20"/>
          <w:lang w:val="es-ES"/>
        </w:rPr>
        <w:t xml:space="preserve">”, dicha duda ha sido eliminada </w:t>
      </w:r>
      <w:r w:rsidR="003237C5">
        <w:rPr>
          <w:rFonts w:eastAsia="Times New Roman"/>
          <w:sz w:val="20"/>
          <w:szCs w:val="20"/>
          <w:lang w:val="es-ES"/>
        </w:rPr>
        <w:t>por</w:t>
      </w:r>
      <w:r w:rsidR="003237C5" w:rsidRPr="00916492">
        <w:rPr>
          <w:rFonts w:eastAsia="Times New Roman"/>
          <w:sz w:val="20"/>
          <w:szCs w:val="20"/>
          <w:lang w:val="es-ES"/>
        </w:rPr>
        <w:t xml:space="preserve"> dos documentos internacionale</w:t>
      </w:r>
      <w:r w:rsidR="003237C5" w:rsidRPr="00F712E5">
        <w:rPr>
          <w:rFonts w:eastAsia="Times New Roman"/>
          <w:sz w:val="20"/>
          <w:szCs w:val="20"/>
          <w:lang w:val="es-ES"/>
        </w:rPr>
        <w:t xml:space="preserve">s. Nos referimos a la Resolución de 11.12.46 de la Asamblea General de las Naciones Unidas, que “afirma los principios </w:t>
      </w:r>
      <w:r w:rsidR="00EE6A89" w:rsidRPr="00F712E5">
        <w:rPr>
          <w:rFonts w:eastAsia="Times New Roman"/>
          <w:sz w:val="20"/>
          <w:szCs w:val="20"/>
          <w:lang w:val="es-ES"/>
        </w:rPr>
        <w:t>de derecho internacional reconocidos en el Estatuto del Tribunal de Nuremberg, y la sentencia</w:t>
      </w:r>
      <w:r w:rsidR="00F712E5">
        <w:rPr>
          <w:rFonts w:eastAsia="Times New Roman"/>
          <w:sz w:val="20"/>
          <w:szCs w:val="20"/>
          <w:lang w:val="es-ES"/>
        </w:rPr>
        <w:t xml:space="preserve"> del Trib</w:t>
      </w:r>
      <w:r w:rsidR="00EE6A89" w:rsidRPr="00F712E5">
        <w:rPr>
          <w:rFonts w:eastAsia="Times New Roman"/>
          <w:sz w:val="20"/>
          <w:szCs w:val="20"/>
          <w:lang w:val="es-ES"/>
        </w:rPr>
        <w:t>unal,” así como a la Resolución de la Asamblea General de Naciones Unidas de la misma fecha, nº</w:t>
      </w:r>
      <w:r w:rsidR="00BC167F">
        <w:rPr>
          <w:rFonts w:eastAsia="Times New Roman"/>
          <w:sz w:val="20"/>
          <w:szCs w:val="20"/>
          <w:lang w:val="es-ES"/>
        </w:rPr>
        <w:t xml:space="preserve"> </w:t>
      </w:r>
      <w:r w:rsidR="00EE6A89" w:rsidRPr="00F712E5">
        <w:rPr>
          <w:rFonts w:eastAsia="Times New Roman"/>
          <w:sz w:val="20"/>
          <w:szCs w:val="20"/>
          <w:lang w:val="es-ES"/>
        </w:rPr>
        <w:t>96(1)</w:t>
      </w:r>
      <w:r w:rsidR="003237C5" w:rsidRPr="00F712E5">
        <w:rPr>
          <w:rFonts w:eastAsia="Times New Roman"/>
          <w:sz w:val="20"/>
          <w:szCs w:val="20"/>
          <w:lang w:val="es-ES"/>
        </w:rPr>
        <w:t xml:space="preserve"> </w:t>
      </w:r>
      <w:r w:rsidR="00F712E5" w:rsidRPr="00F712E5">
        <w:rPr>
          <w:rFonts w:eastAsia="Times New Roman"/>
          <w:sz w:val="20"/>
          <w:szCs w:val="20"/>
          <w:lang w:val="es-ES"/>
        </w:rPr>
        <w:t xml:space="preserve">en la que la Asamblea “afirma que el genocidio es un crimen de derecho internacional” </w:t>
      </w:r>
      <w:r w:rsidRPr="00F712E5">
        <w:rPr>
          <w:rFonts w:eastAsia="Times New Roman"/>
          <w:sz w:val="20"/>
          <w:szCs w:val="20"/>
          <w:lang w:val="es-ES"/>
        </w:rPr>
        <w:t>(</w:t>
      </w:r>
      <w:r w:rsidR="00F712E5">
        <w:rPr>
          <w:rStyle w:val="Emphasis"/>
          <w:rFonts w:eastAsia="Times New Roman"/>
          <w:sz w:val="20"/>
          <w:szCs w:val="20"/>
          <w:lang w:val="es-ES"/>
        </w:rPr>
        <w:t>Fiscal General de</w:t>
      </w:r>
      <w:r w:rsidRPr="00F712E5">
        <w:rPr>
          <w:rStyle w:val="Emphasis"/>
          <w:rFonts w:eastAsia="Times New Roman"/>
          <w:sz w:val="20"/>
          <w:szCs w:val="20"/>
          <w:lang w:val="es-ES"/>
        </w:rPr>
        <w:t xml:space="preserve"> Israel v. Eichmann</w:t>
      </w:r>
      <w:r w:rsidRPr="00F712E5">
        <w:rPr>
          <w:rFonts w:eastAsia="Times New Roman"/>
          <w:sz w:val="20"/>
          <w:szCs w:val="20"/>
          <w:lang w:val="es-ES"/>
        </w:rPr>
        <w:t xml:space="preserve">, </w:t>
      </w:r>
      <w:r w:rsidR="00F712E5" w:rsidRPr="00F712E5">
        <w:rPr>
          <w:rFonts w:eastAsia="Times New Roman"/>
          <w:sz w:val="20"/>
          <w:szCs w:val="20"/>
          <w:lang w:val="es-ES"/>
        </w:rPr>
        <w:t>Tribunal Supremo de Israel</w:t>
      </w:r>
      <w:r w:rsidRPr="00F712E5">
        <w:rPr>
          <w:rFonts w:eastAsia="Times New Roman"/>
          <w:sz w:val="20"/>
          <w:szCs w:val="20"/>
          <w:lang w:val="es-ES"/>
        </w:rPr>
        <w:t xml:space="preserve"> (1962) 36 ILR 277).</w:t>
      </w:r>
    </w:p>
  </w:endnote>
  <w:endnote w:id="3">
    <w:p w14:paraId="078CBCB4" w14:textId="3A7F8E8F" w:rsidR="001201FA" w:rsidRPr="00AA73D4" w:rsidRDefault="001201FA" w:rsidP="00895A14">
      <w:pPr>
        <w:pStyle w:val="EndnoteText"/>
        <w:jc w:val="both"/>
        <w:rPr>
          <w:sz w:val="20"/>
          <w:szCs w:val="20"/>
          <w:lang w:val="es-ES"/>
        </w:rPr>
      </w:pPr>
      <w:r w:rsidRPr="002F3D72">
        <w:rPr>
          <w:rStyle w:val="EndnoteReference"/>
          <w:sz w:val="20"/>
          <w:szCs w:val="20"/>
        </w:rPr>
        <w:endnoteRef/>
      </w:r>
      <w:r w:rsidRPr="00AA73D4">
        <w:rPr>
          <w:sz w:val="20"/>
          <w:szCs w:val="20"/>
          <w:lang w:val="es-ES"/>
        </w:rPr>
        <w:t xml:space="preserve"> </w:t>
      </w:r>
      <w:r w:rsidRPr="00AA73D4">
        <w:rPr>
          <w:i/>
          <w:sz w:val="20"/>
          <w:szCs w:val="20"/>
          <w:lang w:val="es-ES"/>
        </w:rPr>
        <w:t>Ibid</w:t>
      </w:r>
      <w:r w:rsidRPr="00AA73D4">
        <w:rPr>
          <w:sz w:val="20"/>
          <w:szCs w:val="20"/>
          <w:lang w:val="es-ES"/>
        </w:rPr>
        <w:t>, Princip</w:t>
      </w:r>
      <w:r w:rsidR="00256BE1" w:rsidRPr="00AA73D4">
        <w:rPr>
          <w:sz w:val="20"/>
          <w:szCs w:val="20"/>
          <w:lang w:val="es-ES"/>
        </w:rPr>
        <w:t>ios</w:t>
      </w:r>
      <w:r w:rsidRPr="00AA73D4">
        <w:rPr>
          <w:sz w:val="20"/>
          <w:szCs w:val="20"/>
          <w:lang w:val="es-ES"/>
        </w:rPr>
        <w:t xml:space="preserve"> I </w:t>
      </w:r>
      <w:r w:rsidR="00256BE1" w:rsidRPr="00AA73D4">
        <w:rPr>
          <w:sz w:val="20"/>
          <w:szCs w:val="20"/>
          <w:lang w:val="es-ES"/>
        </w:rPr>
        <w:t>y</w:t>
      </w:r>
      <w:r w:rsidRPr="00AA73D4">
        <w:rPr>
          <w:sz w:val="20"/>
          <w:szCs w:val="20"/>
          <w:lang w:val="es-ES"/>
        </w:rPr>
        <w:t xml:space="preserve"> VI, </w:t>
      </w:r>
      <w:r w:rsidR="00256BE1" w:rsidRPr="00AA73D4">
        <w:rPr>
          <w:sz w:val="20"/>
          <w:szCs w:val="20"/>
          <w:lang w:val="es-ES"/>
        </w:rPr>
        <w:t xml:space="preserve">reflejados en los </w:t>
      </w:r>
      <w:r w:rsidR="00895A14">
        <w:rPr>
          <w:sz w:val="20"/>
          <w:szCs w:val="20"/>
          <w:lang w:val="es-ES"/>
        </w:rPr>
        <w:t>Artículos</w:t>
      </w:r>
      <w:r w:rsidRPr="00AA73D4">
        <w:rPr>
          <w:sz w:val="20"/>
          <w:szCs w:val="20"/>
          <w:lang w:val="es-ES"/>
        </w:rPr>
        <w:t xml:space="preserve"> 5</w:t>
      </w:r>
      <w:r w:rsidR="00256BE1" w:rsidRPr="00AA73D4">
        <w:rPr>
          <w:sz w:val="20"/>
          <w:szCs w:val="20"/>
          <w:lang w:val="es-ES"/>
        </w:rPr>
        <w:t xml:space="preserve"> y</w:t>
      </w:r>
      <w:r w:rsidRPr="00AA73D4">
        <w:rPr>
          <w:sz w:val="20"/>
          <w:szCs w:val="20"/>
          <w:lang w:val="es-ES"/>
        </w:rPr>
        <w:t xml:space="preserve"> 25 </w:t>
      </w:r>
      <w:r w:rsidR="00256BE1">
        <w:rPr>
          <w:sz w:val="20"/>
          <w:szCs w:val="20"/>
          <w:lang w:val="es-ES"/>
        </w:rPr>
        <w:t>del Estatuto de Roma</w:t>
      </w:r>
      <w:r w:rsidRPr="00AA73D4">
        <w:rPr>
          <w:sz w:val="20"/>
          <w:szCs w:val="20"/>
          <w:lang w:val="es-ES"/>
        </w:rPr>
        <w:t>.</w:t>
      </w:r>
    </w:p>
  </w:endnote>
  <w:endnote w:id="4">
    <w:p w14:paraId="075D725C" w14:textId="226CD339" w:rsidR="004B49AB" w:rsidRPr="004B49AB" w:rsidRDefault="001201FA" w:rsidP="004B49AB">
      <w:pPr>
        <w:pStyle w:val="EndnoteText"/>
        <w:jc w:val="both"/>
        <w:rPr>
          <w:sz w:val="20"/>
          <w:szCs w:val="20"/>
          <w:lang w:val="es-ES"/>
        </w:rPr>
      </w:pPr>
      <w:r w:rsidRPr="002F3D72">
        <w:rPr>
          <w:rStyle w:val="EndnoteReference"/>
          <w:sz w:val="20"/>
          <w:szCs w:val="20"/>
        </w:rPr>
        <w:endnoteRef/>
      </w:r>
      <w:r w:rsidRPr="00432850">
        <w:rPr>
          <w:sz w:val="20"/>
          <w:szCs w:val="20"/>
          <w:lang w:val="es-ES"/>
        </w:rPr>
        <w:t xml:space="preserve"> </w:t>
      </w:r>
      <w:r w:rsidR="00AA73D4" w:rsidRPr="00432850">
        <w:rPr>
          <w:i/>
          <w:sz w:val="20"/>
          <w:szCs w:val="20"/>
          <w:lang w:val="es-ES"/>
        </w:rPr>
        <w:t>Ver</w:t>
      </w:r>
      <w:r w:rsidRPr="00432850">
        <w:rPr>
          <w:i/>
          <w:sz w:val="20"/>
          <w:szCs w:val="20"/>
          <w:lang w:val="es-ES"/>
        </w:rPr>
        <w:t xml:space="preserve">: </w:t>
      </w:r>
      <w:r w:rsidR="000C7875" w:rsidRPr="00432850">
        <w:rPr>
          <w:sz w:val="20"/>
          <w:szCs w:val="20"/>
          <w:lang w:val="es-ES"/>
        </w:rPr>
        <w:t xml:space="preserve">Principios y Directices Básicos de las Naciones Unidas sobre el Derecho de las Víctimas de Violaciones Manifiestas de las Normas Internacionales de Derechos Humanos y de Violaciones Graves del Derecho Internacional Humanitario a Interponer Recursos y Obtener Reparaciones (Resolución 60/147 </w:t>
      </w:r>
      <w:r w:rsidR="00AA2C7C" w:rsidRPr="00432850">
        <w:rPr>
          <w:sz w:val="20"/>
          <w:szCs w:val="20"/>
          <w:lang w:val="es-ES"/>
        </w:rPr>
        <w:t>de la Asamblea General de Naciones Unidas,</w:t>
      </w:r>
      <w:r w:rsidR="000C7875" w:rsidRPr="00432850">
        <w:rPr>
          <w:sz w:val="20"/>
          <w:szCs w:val="20"/>
          <w:lang w:val="es-ES"/>
        </w:rPr>
        <w:t xml:space="preserve"> 16 de diciembre de 2016)</w:t>
      </w:r>
      <w:r w:rsidRPr="00432850">
        <w:rPr>
          <w:sz w:val="20"/>
          <w:szCs w:val="20"/>
          <w:lang w:val="es-ES"/>
        </w:rPr>
        <w:t xml:space="preserve">; </w:t>
      </w:r>
      <w:r w:rsidR="00AA2C7C" w:rsidRPr="00432850">
        <w:rPr>
          <w:sz w:val="20"/>
          <w:szCs w:val="20"/>
          <w:lang w:val="es-ES"/>
        </w:rPr>
        <w:t>ver  también:</w:t>
      </w:r>
      <w:r w:rsidRPr="00432850">
        <w:rPr>
          <w:sz w:val="20"/>
          <w:szCs w:val="20"/>
          <w:lang w:val="es-ES"/>
        </w:rPr>
        <w:t xml:space="preserve"> Art</w:t>
      </w:r>
      <w:r w:rsidR="00AA2C7C" w:rsidRPr="00432850">
        <w:rPr>
          <w:sz w:val="20"/>
          <w:szCs w:val="20"/>
          <w:lang w:val="es-ES"/>
        </w:rPr>
        <w:t>ículo</w:t>
      </w:r>
      <w:r w:rsidRPr="00432850">
        <w:rPr>
          <w:sz w:val="20"/>
          <w:szCs w:val="20"/>
          <w:lang w:val="es-ES"/>
        </w:rPr>
        <w:t xml:space="preserve"> 8 </w:t>
      </w:r>
      <w:r w:rsidR="00AA2C7C" w:rsidRPr="00432850">
        <w:rPr>
          <w:sz w:val="20"/>
          <w:szCs w:val="20"/>
          <w:lang w:val="es-ES"/>
        </w:rPr>
        <w:t>de la Declaración Universal de los Derechos Humanos</w:t>
      </w:r>
      <w:r w:rsidRPr="00432850">
        <w:rPr>
          <w:sz w:val="20"/>
          <w:szCs w:val="20"/>
          <w:lang w:val="es-ES"/>
        </w:rPr>
        <w:t>; Art</w:t>
      </w:r>
      <w:r w:rsidR="00AA2C7C" w:rsidRPr="00432850">
        <w:rPr>
          <w:sz w:val="20"/>
          <w:szCs w:val="20"/>
          <w:lang w:val="es-ES"/>
        </w:rPr>
        <w:t>ículo</w:t>
      </w:r>
      <w:r w:rsidRPr="00432850">
        <w:rPr>
          <w:sz w:val="20"/>
          <w:szCs w:val="20"/>
          <w:lang w:val="es-ES"/>
        </w:rPr>
        <w:t xml:space="preserve"> 2 </w:t>
      </w:r>
      <w:r w:rsidR="00F80B5E" w:rsidRPr="00432850">
        <w:rPr>
          <w:sz w:val="20"/>
          <w:szCs w:val="20"/>
          <w:lang w:val="es-ES"/>
        </w:rPr>
        <w:t xml:space="preserve"> del Pacto Internacional de Derechos Civiles y Políticos;</w:t>
      </w:r>
      <w:r w:rsidRPr="00432850">
        <w:rPr>
          <w:sz w:val="20"/>
          <w:szCs w:val="20"/>
          <w:lang w:val="es-ES"/>
        </w:rPr>
        <w:t xml:space="preserve"> Art</w:t>
      </w:r>
      <w:r w:rsidR="00F80B5E" w:rsidRPr="00432850">
        <w:rPr>
          <w:sz w:val="20"/>
          <w:szCs w:val="20"/>
          <w:lang w:val="es-ES"/>
        </w:rPr>
        <w:t xml:space="preserve">ículo </w:t>
      </w:r>
      <w:r w:rsidRPr="00432850">
        <w:rPr>
          <w:sz w:val="20"/>
          <w:szCs w:val="20"/>
          <w:lang w:val="es-ES"/>
        </w:rPr>
        <w:t xml:space="preserve">6 </w:t>
      </w:r>
      <w:r w:rsidR="00F80B5E" w:rsidRPr="00432850">
        <w:rPr>
          <w:sz w:val="20"/>
          <w:szCs w:val="20"/>
          <w:lang w:val="es-ES"/>
        </w:rPr>
        <w:t>de la Convención Internacional sobre la Eliminación de Todas las Formas de Discriminación Racial</w:t>
      </w:r>
      <w:r w:rsidRPr="00432850">
        <w:rPr>
          <w:sz w:val="20"/>
          <w:szCs w:val="20"/>
          <w:lang w:val="es-ES"/>
        </w:rPr>
        <w:t>; Art</w:t>
      </w:r>
      <w:r w:rsidR="00F80B5E" w:rsidRPr="00432850">
        <w:rPr>
          <w:sz w:val="20"/>
          <w:szCs w:val="20"/>
          <w:lang w:val="es-ES"/>
        </w:rPr>
        <w:t>ículo</w:t>
      </w:r>
      <w:r w:rsidRPr="00432850">
        <w:rPr>
          <w:sz w:val="20"/>
          <w:szCs w:val="20"/>
          <w:lang w:val="es-ES"/>
        </w:rPr>
        <w:t xml:space="preserve">14 </w:t>
      </w:r>
      <w:r w:rsidR="00F80B5E" w:rsidRPr="00432850">
        <w:rPr>
          <w:sz w:val="20"/>
          <w:szCs w:val="20"/>
          <w:lang w:val="es-ES"/>
        </w:rPr>
        <w:t xml:space="preserve">de la </w:t>
      </w:r>
      <w:r w:rsidR="00243E87" w:rsidRPr="00432850">
        <w:rPr>
          <w:sz w:val="20"/>
          <w:szCs w:val="20"/>
          <w:lang w:val="es-ES"/>
        </w:rPr>
        <w:t>Convención contra la Tortura y Otros Tratos o Penas Crueles;</w:t>
      </w:r>
      <w:r w:rsidRPr="00432850">
        <w:rPr>
          <w:sz w:val="20"/>
          <w:szCs w:val="20"/>
          <w:lang w:val="es-ES"/>
        </w:rPr>
        <w:t xml:space="preserve"> Art</w:t>
      </w:r>
      <w:r w:rsidR="00243E87" w:rsidRPr="00432850">
        <w:rPr>
          <w:sz w:val="20"/>
          <w:szCs w:val="20"/>
          <w:lang w:val="es-ES"/>
        </w:rPr>
        <w:t>ículo</w:t>
      </w:r>
      <w:r w:rsidRPr="00432850">
        <w:rPr>
          <w:sz w:val="20"/>
          <w:szCs w:val="20"/>
          <w:lang w:val="es-ES"/>
        </w:rPr>
        <w:t xml:space="preserve"> 39 </w:t>
      </w:r>
      <w:r w:rsidR="00243E87" w:rsidRPr="00432850">
        <w:rPr>
          <w:sz w:val="20"/>
          <w:szCs w:val="20"/>
          <w:lang w:val="es-ES"/>
        </w:rPr>
        <w:t xml:space="preserve">de la Convención sobre los Derechos del Niño; </w:t>
      </w:r>
      <w:r w:rsidRPr="00432850">
        <w:rPr>
          <w:sz w:val="20"/>
          <w:szCs w:val="20"/>
          <w:lang w:val="es-ES"/>
        </w:rPr>
        <w:t>Art</w:t>
      </w:r>
      <w:r w:rsidR="00243E87" w:rsidRPr="00432850">
        <w:rPr>
          <w:sz w:val="20"/>
          <w:szCs w:val="20"/>
          <w:lang w:val="es-ES"/>
        </w:rPr>
        <w:t>ículo</w:t>
      </w:r>
      <w:r w:rsidRPr="00432850">
        <w:rPr>
          <w:sz w:val="20"/>
          <w:szCs w:val="20"/>
          <w:lang w:val="es-ES"/>
        </w:rPr>
        <w:t xml:space="preserve"> 3 </w:t>
      </w:r>
      <w:r w:rsidR="00243E87" w:rsidRPr="00432850">
        <w:rPr>
          <w:sz w:val="20"/>
          <w:szCs w:val="20"/>
          <w:lang w:val="es-ES"/>
        </w:rPr>
        <w:t>de</w:t>
      </w:r>
      <w:r w:rsidR="006A641E" w:rsidRPr="00432850">
        <w:rPr>
          <w:sz w:val="20"/>
          <w:szCs w:val="20"/>
          <w:lang w:val="es-ES"/>
        </w:rPr>
        <w:t>l Convenio IV de La Haya relativo a las Leyes y Costumbres de la Guerra Terrestre de 18 de Octubre de 1907</w:t>
      </w:r>
      <w:r w:rsidRPr="00432850">
        <w:rPr>
          <w:sz w:val="20"/>
          <w:szCs w:val="20"/>
          <w:lang w:val="es-ES"/>
        </w:rPr>
        <w:t>(Conven</w:t>
      </w:r>
      <w:r w:rsidR="006A641E" w:rsidRPr="00432850">
        <w:rPr>
          <w:sz w:val="20"/>
          <w:szCs w:val="20"/>
          <w:lang w:val="es-ES"/>
        </w:rPr>
        <w:t>io</w:t>
      </w:r>
      <w:r w:rsidRPr="00432850">
        <w:rPr>
          <w:sz w:val="20"/>
          <w:szCs w:val="20"/>
          <w:lang w:val="es-ES"/>
        </w:rPr>
        <w:t xml:space="preserve"> IV); </w:t>
      </w:r>
      <w:r w:rsidRPr="004B49AB">
        <w:rPr>
          <w:sz w:val="20"/>
          <w:szCs w:val="20"/>
          <w:lang w:val="es-ES"/>
        </w:rPr>
        <w:t>Art</w:t>
      </w:r>
      <w:r w:rsidR="006A641E" w:rsidRPr="004B49AB">
        <w:rPr>
          <w:sz w:val="20"/>
          <w:szCs w:val="20"/>
          <w:lang w:val="es-ES"/>
        </w:rPr>
        <w:t>ículo</w:t>
      </w:r>
      <w:r w:rsidRPr="004B49AB">
        <w:rPr>
          <w:sz w:val="20"/>
          <w:szCs w:val="20"/>
          <w:lang w:val="es-ES"/>
        </w:rPr>
        <w:t xml:space="preserve"> 91 </w:t>
      </w:r>
      <w:r w:rsidR="00D068D2" w:rsidRPr="004B49AB">
        <w:rPr>
          <w:sz w:val="20"/>
          <w:szCs w:val="20"/>
          <w:lang w:val="es-ES"/>
        </w:rPr>
        <w:t xml:space="preserve">del Protocolo Adicional a los Convenios de Ginebra de 12 de Agosto de 1949; y </w:t>
      </w:r>
      <w:r w:rsidR="004B49AB" w:rsidRPr="004B49AB">
        <w:rPr>
          <w:sz w:val="20"/>
          <w:szCs w:val="20"/>
          <w:lang w:val="es-ES"/>
        </w:rPr>
        <w:t>del relativo</w:t>
      </w:r>
      <w:r w:rsidR="00432850" w:rsidRPr="004B49AB">
        <w:rPr>
          <w:sz w:val="20"/>
          <w:szCs w:val="20"/>
          <w:lang w:val="es-ES"/>
        </w:rPr>
        <w:t xml:space="preserve"> a</w:t>
      </w:r>
      <w:r w:rsidR="004B49AB" w:rsidRPr="004B49AB">
        <w:rPr>
          <w:sz w:val="20"/>
          <w:szCs w:val="20"/>
          <w:lang w:val="es-ES"/>
        </w:rPr>
        <w:t xml:space="preserve"> la Protección de las Víctimas de los Conflictos Armados Internacionales (Procotolo I) del 8 de junio de 1977;</w:t>
      </w:r>
      <w:r w:rsidRPr="004B49AB">
        <w:rPr>
          <w:sz w:val="20"/>
          <w:szCs w:val="20"/>
          <w:lang w:val="es-ES"/>
        </w:rPr>
        <w:t xml:space="preserve"> </w:t>
      </w:r>
      <w:r w:rsidR="004B49AB" w:rsidRPr="004B49AB">
        <w:rPr>
          <w:sz w:val="20"/>
          <w:szCs w:val="20"/>
          <w:lang w:val="es-ES"/>
        </w:rPr>
        <w:t xml:space="preserve">y </w:t>
      </w:r>
      <w:r w:rsidRPr="004B49AB">
        <w:rPr>
          <w:sz w:val="20"/>
          <w:szCs w:val="20"/>
          <w:lang w:val="es-ES"/>
        </w:rPr>
        <w:t>Art</w:t>
      </w:r>
      <w:r w:rsidR="004B49AB" w:rsidRPr="004B49AB">
        <w:rPr>
          <w:sz w:val="20"/>
          <w:szCs w:val="20"/>
          <w:lang w:val="es-ES"/>
        </w:rPr>
        <w:t>ículos</w:t>
      </w:r>
      <w:r w:rsidRPr="004B49AB">
        <w:rPr>
          <w:sz w:val="20"/>
          <w:szCs w:val="20"/>
          <w:lang w:val="es-ES"/>
        </w:rPr>
        <w:t xml:space="preserve"> 68 </w:t>
      </w:r>
      <w:r w:rsidR="004B49AB" w:rsidRPr="004B49AB">
        <w:rPr>
          <w:sz w:val="20"/>
          <w:szCs w:val="20"/>
          <w:lang w:val="es-ES"/>
        </w:rPr>
        <w:t>y</w:t>
      </w:r>
      <w:r w:rsidRPr="004B49AB">
        <w:rPr>
          <w:sz w:val="20"/>
          <w:szCs w:val="20"/>
          <w:lang w:val="es-ES"/>
        </w:rPr>
        <w:t xml:space="preserve"> 75 </w:t>
      </w:r>
      <w:r w:rsidR="004B49AB" w:rsidRPr="004B49AB">
        <w:rPr>
          <w:sz w:val="20"/>
          <w:szCs w:val="20"/>
          <w:lang w:val="es-ES"/>
        </w:rPr>
        <w:t>del Estatuto de Roma de la Corte Penal Internacional</w:t>
      </w:r>
      <w:r w:rsidRPr="004B49AB">
        <w:rPr>
          <w:sz w:val="20"/>
          <w:szCs w:val="20"/>
          <w:lang w:val="es-ES"/>
        </w:rPr>
        <w:t>.</w:t>
      </w:r>
    </w:p>
  </w:endnote>
  <w:endnote w:id="5">
    <w:p w14:paraId="73379C28" w14:textId="06607249" w:rsidR="001201FA" w:rsidRPr="00AA73D4" w:rsidRDefault="001201FA" w:rsidP="00895A14">
      <w:pPr>
        <w:pStyle w:val="EndnoteText"/>
        <w:jc w:val="both"/>
        <w:rPr>
          <w:sz w:val="20"/>
          <w:szCs w:val="20"/>
          <w:lang w:val="es-ES"/>
        </w:rPr>
      </w:pPr>
      <w:r w:rsidRPr="004B49AB">
        <w:rPr>
          <w:rStyle w:val="EndnoteReference"/>
          <w:sz w:val="20"/>
          <w:szCs w:val="20"/>
        </w:rPr>
        <w:endnoteRef/>
      </w:r>
      <w:r w:rsidRPr="004B49AB">
        <w:rPr>
          <w:sz w:val="20"/>
          <w:szCs w:val="20"/>
          <w:lang w:val="es-ES"/>
        </w:rPr>
        <w:t xml:space="preserve"> </w:t>
      </w:r>
      <w:r w:rsidR="00154DF5" w:rsidRPr="004B49AB">
        <w:rPr>
          <w:sz w:val="20"/>
          <w:szCs w:val="20"/>
          <w:lang w:val="es-ES"/>
        </w:rPr>
        <w:t>Estatuto de Roma, Preámbulo</w:t>
      </w:r>
      <w:r w:rsidR="00895A14" w:rsidRPr="004B49AB">
        <w:rPr>
          <w:sz w:val="20"/>
          <w:szCs w:val="20"/>
          <w:lang w:val="es-ES"/>
        </w:rPr>
        <w:t>.</w:t>
      </w:r>
    </w:p>
  </w:endnote>
  <w:endnote w:id="6">
    <w:p w14:paraId="376E96E1" w14:textId="63887E41" w:rsidR="001201FA" w:rsidRPr="00C45263" w:rsidRDefault="001201FA" w:rsidP="00895A14">
      <w:pPr>
        <w:pStyle w:val="EndnoteText"/>
        <w:jc w:val="both"/>
        <w:rPr>
          <w:sz w:val="20"/>
          <w:szCs w:val="20"/>
          <w:lang w:val="es-ES"/>
        </w:rPr>
      </w:pPr>
      <w:r w:rsidRPr="002F3D72">
        <w:rPr>
          <w:rStyle w:val="EndnoteReference"/>
          <w:sz w:val="20"/>
          <w:szCs w:val="20"/>
        </w:rPr>
        <w:endnoteRef/>
      </w:r>
      <w:r w:rsidRPr="00AA73D4">
        <w:rPr>
          <w:sz w:val="20"/>
          <w:szCs w:val="20"/>
          <w:lang w:val="es-ES"/>
        </w:rPr>
        <w:t xml:space="preserve"> </w:t>
      </w:r>
      <w:r w:rsidR="00795701" w:rsidRPr="00AA73D4">
        <w:rPr>
          <w:i/>
          <w:sz w:val="20"/>
          <w:szCs w:val="20"/>
          <w:lang w:val="es-ES"/>
        </w:rPr>
        <w:t xml:space="preserve">Consecuencias Jurídicas de la Construcción de un Muro </w:t>
      </w:r>
      <w:r w:rsidR="00795701">
        <w:rPr>
          <w:i/>
          <w:sz w:val="20"/>
          <w:szCs w:val="20"/>
          <w:lang w:val="es-ES"/>
        </w:rPr>
        <w:t>en el Territorio Palestino Ocupado</w:t>
      </w:r>
      <w:r w:rsidRPr="00AA73D4">
        <w:rPr>
          <w:sz w:val="20"/>
          <w:szCs w:val="20"/>
          <w:lang w:val="es-ES"/>
        </w:rPr>
        <w:t xml:space="preserve"> (</w:t>
      </w:r>
      <w:r w:rsidR="00795701">
        <w:rPr>
          <w:sz w:val="20"/>
          <w:szCs w:val="20"/>
          <w:lang w:val="es-ES"/>
        </w:rPr>
        <w:t xml:space="preserve">Opinión </w:t>
      </w:r>
      <w:r w:rsidR="00795701" w:rsidRPr="00C45263">
        <w:rPr>
          <w:sz w:val="20"/>
          <w:szCs w:val="20"/>
          <w:lang w:val="es-ES"/>
        </w:rPr>
        <w:t>Consultiva)</w:t>
      </w:r>
      <w:r w:rsidRPr="00C45263">
        <w:rPr>
          <w:sz w:val="20"/>
          <w:szCs w:val="20"/>
          <w:lang w:val="es-ES"/>
        </w:rPr>
        <w:t xml:space="preserve"> [2004] </w:t>
      </w:r>
      <w:r w:rsidR="00795701" w:rsidRPr="00C45263">
        <w:rPr>
          <w:sz w:val="20"/>
          <w:szCs w:val="20"/>
          <w:lang w:val="es-ES"/>
        </w:rPr>
        <w:t>CIJ</w:t>
      </w:r>
      <w:r w:rsidRPr="00C45263">
        <w:rPr>
          <w:sz w:val="20"/>
          <w:szCs w:val="20"/>
          <w:lang w:val="es-ES"/>
        </w:rPr>
        <w:t xml:space="preserve"> Rep 2004, [78]</w:t>
      </w:r>
      <w:r w:rsidR="00895A14" w:rsidRPr="00C45263">
        <w:rPr>
          <w:sz w:val="20"/>
          <w:szCs w:val="20"/>
          <w:lang w:val="es-ES"/>
        </w:rPr>
        <w:t>.</w:t>
      </w:r>
    </w:p>
  </w:endnote>
  <w:endnote w:id="7">
    <w:p w14:paraId="50BD290D" w14:textId="464CE1F5" w:rsidR="006679BF" w:rsidRPr="00C45263" w:rsidRDefault="001201FA" w:rsidP="00C45263">
      <w:pPr>
        <w:pStyle w:val="Normal1"/>
        <w:spacing w:line="240" w:lineRule="auto"/>
        <w:contextualSpacing w:val="0"/>
        <w:jc w:val="both"/>
        <w:rPr>
          <w:sz w:val="21"/>
          <w:szCs w:val="21"/>
          <w:highlight w:val="yellow"/>
          <w:lang w:val="es-ES"/>
        </w:rPr>
      </w:pPr>
      <w:r w:rsidRPr="00C45263">
        <w:rPr>
          <w:sz w:val="20"/>
          <w:szCs w:val="20"/>
          <w:vertAlign w:val="superscript"/>
        </w:rPr>
        <w:endnoteRef/>
      </w:r>
      <w:r w:rsidRPr="00C45263">
        <w:rPr>
          <w:sz w:val="20"/>
          <w:szCs w:val="20"/>
          <w:lang w:val="es-ES"/>
        </w:rPr>
        <w:t xml:space="preserve"> </w:t>
      </w:r>
      <w:r w:rsidR="006679BF" w:rsidRPr="00C45263">
        <w:rPr>
          <w:sz w:val="20"/>
          <w:szCs w:val="20"/>
          <w:lang w:val="es-ES"/>
        </w:rPr>
        <w:t xml:space="preserve">Ninguna organización internacional u otro organismo relevante </w:t>
      </w:r>
      <w:r w:rsidR="008C39D2" w:rsidRPr="00C45263">
        <w:rPr>
          <w:sz w:val="20"/>
          <w:szCs w:val="20"/>
          <w:lang w:val="es-ES"/>
        </w:rPr>
        <w:t xml:space="preserve">a nivel internacional </w:t>
      </w:r>
      <w:r w:rsidR="006679BF" w:rsidRPr="00C45263">
        <w:rPr>
          <w:sz w:val="20"/>
          <w:szCs w:val="20"/>
          <w:lang w:val="es-ES"/>
        </w:rPr>
        <w:t>ha encontrado la “</w:t>
      </w:r>
      <w:r w:rsidR="0047286D" w:rsidRPr="00C45263">
        <w:rPr>
          <w:sz w:val="20"/>
          <w:szCs w:val="20"/>
          <w:lang w:val="es-ES"/>
        </w:rPr>
        <w:t>retirada</w:t>
      </w:r>
      <w:r w:rsidR="006679BF" w:rsidRPr="00C45263">
        <w:rPr>
          <w:sz w:val="20"/>
          <w:szCs w:val="20"/>
          <w:lang w:val="es-ES"/>
        </w:rPr>
        <w:t xml:space="preserve">” de Israel </w:t>
      </w:r>
      <w:r w:rsidR="008C39D2" w:rsidRPr="00C45263">
        <w:rPr>
          <w:sz w:val="20"/>
          <w:szCs w:val="20"/>
          <w:lang w:val="es-ES"/>
        </w:rPr>
        <w:t>de la Franja de Gaza en 2005</w:t>
      </w:r>
      <w:r w:rsidR="00FB7450" w:rsidRPr="00C45263">
        <w:rPr>
          <w:sz w:val="20"/>
          <w:szCs w:val="20"/>
          <w:lang w:val="es-ES"/>
        </w:rPr>
        <w:t xml:space="preserve"> </w:t>
      </w:r>
      <w:r w:rsidR="002F124C" w:rsidRPr="00C45263">
        <w:rPr>
          <w:sz w:val="20"/>
          <w:szCs w:val="20"/>
          <w:lang w:val="es-ES"/>
        </w:rPr>
        <w:t>como terminación de</w:t>
      </w:r>
      <w:r w:rsidR="00FB7450" w:rsidRPr="00C45263">
        <w:rPr>
          <w:sz w:val="20"/>
          <w:szCs w:val="20"/>
          <w:lang w:val="es-ES"/>
        </w:rPr>
        <w:t xml:space="preserve"> su estado actual como Potencia Ocupante.</w:t>
      </w:r>
      <w:r w:rsidR="008C39D2" w:rsidRPr="00C45263">
        <w:rPr>
          <w:sz w:val="20"/>
          <w:szCs w:val="20"/>
          <w:lang w:val="es-ES"/>
        </w:rPr>
        <w:t xml:space="preserve"> </w:t>
      </w:r>
      <w:r w:rsidRPr="00C45263">
        <w:rPr>
          <w:sz w:val="20"/>
          <w:szCs w:val="20"/>
          <w:lang w:val="es-ES"/>
        </w:rPr>
        <w:t xml:space="preserve">. </w:t>
      </w:r>
      <w:r w:rsidR="002F124C" w:rsidRPr="00C45263">
        <w:rPr>
          <w:sz w:val="20"/>
          <w:szCs w:val="20"/>
          <w:lang w:val="es-ES"/>
        </w:rPr>
        <w:t>Como</w:t>
      </w:r>
      <w:r w:rsidR="00C45263">
        <w:rPr>
          <w:sz w:val="20"/>
          <w:szCs w:val="20"/>
          <w:lang w:val="es-ES"/>
        </w:rPr>
        <w:t xml:space="preserve"> los TPO han reconocido en su</w:t>
      </w:r>
      <w:r w:rsidR="002F124C" w:rsidRPr="00C45263">
        <w:rPr>
          <w:sz w:val="20"/>
          <w:szCs w:val="20"/>
          <w:lang w:val="es-ES"/>
        </w:rPr>
        <w:t xml:space="preserve"> </w:t>
      </w:r>
      <w:r w:rsidRPr="00C45263">
        <w:rPr>
          <w:i/>
          <w:sz w:val="20"/>
          <w:szCs w:val="20"/>
          <w:lang w:val="es-ES"/>
        </w:rPr>
        <w:t>Flotilla Report</w:t>
      </w:r>
      <w:r w:rsidRPr="00C45263">
        <w:rPr>
          <w:sz w:val="20"/>
          <w:szCs w:val="20"/>
          <w:lang w:val="es-ES"/>
        </w:rPr>
        <w:t>: “</w:t>
      </w:r>
      <w:r w:rsidR="00D524ED" w:rsidRPr="00C45263">
        <w:rPr>
          <w:sz w:val="20"/>
          <w:szCs w:val="20"/>
          <w:lang w:val="es-ES"/>
        </w:rPr>
        <w:t>la visión prevalente dentro de la comunidad internacional es que Israel sigue siendo una potencia ocupante en Gaza a pesar de la retirada de 2005</w:t>
      </w:r>
      <w:r w:rsidRPr="00C45263">
        <w:rPr>
          <w:sz w:val="20"/>
          <w:szCs w:val="20"/>
          <w:lang w:val="es-ES"/>
        </w:rPr>
        <w:t xml:space="preserve">”, </w:t>
      </w:r>
      <w:r w:rsidR="0047286D" w:rsidRPr="00C45263">
        <w:rPr>
          <w:sz w:val="20"/>
          <w:szCs w:val="20"/>
          <w:lang w:val="es-ES"/>
        </w:rPr>
        <w:t>párr.</w:t>
      </w:r>
      <w:r w:rsidRPr="00C45263">
        <w:rPr>
          <w:sz w:val="20"/>
          <w:szCs w:val="20"/>
          <w:lang w:val="es-ES"/>
        </w:rPr>
        <w:t xml:space="preserve"> 25, conclu</w:t>
      </w:r>
      <w:r w:rsidR="0047286D" w:rsidRPr="00C45263">
        <w:rPr>
          <w:sz w:val="20"/>
          <w:szCs w:val="20"/>
          <w:lang w:val="es-ES"/>
        </w:rPr>
        <w:t>yendo</w:t>
      </w:r>
      <w:r w:rsidRPr="00C45263">
        <w:rPr>
          <w:sz w:val="20"/>
          <w:szCs w:val="20"/>
          <w:lang w:val="es-ES"/>
        </w:rPr>
        <w:t>: “</w:t>
      </w:r>
      <w:r w:rsidR="0047286D" w:rsidRPr="00C45263">
        <w:rPr>
          <w:sz w:val="20"/>
          <w:szCs w:val="20"/>
          <w:lang w:val="es-ES"/>
        </w:rPr>
        <w:t>hay una base razonable para concluir que Israel continúa siendo una potencia ocupante en Gaza a pesar de la</w:t>
      </w:r>
      <w:r w:rsidR="00C45263" w:rsidRPr="00C45263">
        <w:rPr>
          <w:sz w:val="20"/>
          <w:szCs w:val="20"/>
          <w:lang w:val="es-ES"/>
        </w:rPr>
        <w:t xml:space="preserve"> retirada de 2005”</w:t>
      </w:r>
      <w:r w:rsidRPr="00C45263">
        <w:rPr>
          <w:sz w:val="20"/>
          <w:szCs w:val="20"/>
          <w:lang w:val="es-ES"/>
        </w:rPr>
        <w:t xml:space="preserve"> Id. at p</w:t>
      </w:r>
      <w:r w:rsidR="00C45263" w:rsidRPr="00C45263">
        <w:rPr>
          <w:sz w:val="20"/>
          <w:szCs w:val="20"/>
          <w:lang w:val="es-ES"/>
        </w:rPr>
        <w:t>árr</w:t>
      </w:r>
      <w:r w:rsidRPr="00C45263">
        <w:rPr>
          <w:sz w:val="20"/>
          <w:szCs w:val="20"/>
          <w:lang w:val="es-ES"/>
        </w:rPr>
        <w:t xml:space="preserve">s. 27, 29. </w:t>
      </w:r>
      <w:r w:rsidR="00C45263" w:rsidRPr="00C45263">
        <w:rPr>
          <w:sz w:val="20"/>
          <w:szCs w:val="20"/>
          <w:lang w:val="es-ES"/>
        </w:rPr>
        <w:t>Véase también</w:t>
      </w:r>
      <w:r w:rsidRPr="00C45263">
        <w:rPr>
          <w:sz w:val="20"/>
          <w:szCs w:val="20"/>
          <w:lang w:val="es-ES"/>
        </w:rPr>
        <w:t>, “</w:t>
      </w:r>
      <w:r w:rsidRPr="00C45263">
        <w:rPr>
          <w:i/>
          <w:sz w:val="20"/>
          <w:szCs w:val="20"/>
          <w:lang w:val="es-ES"/>
        </w:rPr>
        <w:t>Situation of Palestine: Closure of Gaza – Palestinian Human Rights and Victims’ Communication to the International Criminal Court Pursuant to Article 15 of the Rome Statute Requesting Investigation and Prosecution of the Illegal Closure of the Gaza Strip: Persecution and Other Humane Acts Committed against the Civilian Population as Crimes Against Humanity</w:t>
      </w:r>
      <w:r w:rsidRPr="00C45263">
        <w:rPr>
          <w:sz w:val="20"/>
          <w:szCs w:val="20"/>
          <w:lang w:val="es-ES"/>
        </w:rPr>
        <w:t xml:space="preserve">”, </w:t>
      </w:r>
      <w:r w:rsidR="00C45263" w:rsidRPr="00C45263">
        <w:rPr>
          <w:sz w:val="20"/>
          <w:szCs w:val="20"/>
          <w:lang w:val="es-ES"/>
        </w:rPr>
        <w:t>presentado por el Centro Palestino para los Derechos Humanos,</w:t>
      </w:r>
      <w:r w:rsidRPr="00C45263">
        <w:rPr>
          <w:sz w:val="20"/>
          <w:szCs w:val="20"/>
          <w:lang w:val="es-ES"/>
        </w:rPr>
        <w:t>, Al-Haq,</w:t>
      </w:r>
      <w:r w:rsidR="00C45263" w:rsidRPr="00C45263">
        <w:rPr>
          <w:sz w:val="20"/>
          <w:szCs w:val="20"/>
          <w:lang w:val="es-ES"/>
        </w:rPr>
        <w:t xml:space="preserve"> el Centro</w:t>
      </w:r>
      <w:r w:rsidRPr="00C45263">
        <w:rPr>
          <w:sz w:val="20"/>
          <w:szCs w:val="20"/>
          <w:lang w:val="es-ES"/>
        </w:rPr>
        <w:t xml:space="preserve"> Al-Mezan </w:t>
      </w:r>
      <w:r w:rsidR="00C45263" w:rsidRPr="00C45263">
        <w:rPr>
          <w:sz w:val="20"/>
          <w:szCs w:val="20"/>
          <w:lang w:val="es-ES"/>
        </w:rPr>
        <w:t>de Derechos Humanos  y la Asociación A</w:t>
      </w:r>
      <w:r w:rsidRPr="00C45263">
        <w:rPr>
          <w:sz w:val="20"/>
          <w:szCs w:val="20"/>
          <w:lang w:val="es-ES"/>
        </w:rPr>
        <w:t xml:space="preserve">ldameer </w:t>
      </w:r>
      <w:r w:rsidR="00C45263" w:rsidRPr="00C45263">
        <w:rPr>
          <w:sz w:val="20"/>
          <w:szCs w:val="20"/>
          <w:lang w:val="es-ES"/>
        </w:rPr>
        <w:t>para los Derechos Humanos</w:t>
      </w:r>
      <w:r w:rsidRPr="00C45263">
        <w:rPr>
          <w:sz w:val="20"/>
          <w:szCs w:val="20"/>
          <w:lang w:val="es-ES"/>
        </w:rPr>
        <w:t xml:space="preserve">, </w:t>
      </w:r>
      <w:r w:rsidR="00C45263" w:rsidRPr="00C45263">
        <w:rPr>
          <w:sz w:val="20"/>
          <w:szCs w:val="20"/>
          <w:lang w:val="es-ES"/>
        </w:rPr>
        <w:t xml:space="preserve">Noviembre de </w:t>
      </w:r>
      <w:r w:rsidRPr="00C45263">
        <w:rPr>
          <w:sz w:val="20"/>
          <w:szCs w:val="20"/>
          <w:lang w:val="es-ES"/>
        </w:rPr>
        <w:t>2016.</w:t>
      </w:r>
    </w:p>
  </w:endnote>
  <w:endnote w:id="8">
    <w:p w14:paraId="772B8932" w14:textId="06D82C41" w:rsidR="001201FA" w:rsidRPr="00263AE1" w:rsidRDefault="001201FA">
      <w:pPr>
        <w:pStyle w:val="Normal1"/>
        <w:spacing w:line="240" w:lineRule="auto"/>
        <w:contextualSpacing w:val="0"/>
        <w:rPr>
          <w:sz w:val="20"/>
          <w:szCs w:val="20"/>
          <w:highlight w:val="yellow"/>
          <w:lang w:val="es-ES"/>
        </w:rPr>
      </w:pPr>
      <w:r w:rsidRPr="00263AE1">
        <w:rPr>
          <w:sz w:val="20"/>
          <w:szCs w:val="20"/>
          <w:vertAlign w:val="superscript"/>
        </w:rPr>
        <w:endnoteRef/>
      </w:r>
      <w:r w:rsidRPr="00263AE1">
        <w:rPr>
          <w:sz w:val="20"/>
          <w:szCs w:val="20"/>
          <w:lang w:val="es-ES"/>
        </w:rPr>
        <w:t xml:space="preserve"> </w:t>
      </w:r>
      <w:r w:rsidR="00DB0C89" w:rsidRPr="00263AE1">
        <w:rPr>
          <w:sz w:val="20"/>
          <w:szCs w:val="20"/>
          <w:lang w:val="es-ES"/>
        </w:rPr>
        <w:t>Ver notas al pie</w:t>
      </w:r>
      <w:r w:rsidRPr="00263AE1">
        <w:rPr>
          <w:sz w:val="20"/>
          <w:szCs w:val="20"/>
          <w:lang w:val="es-ES"/>
        </w:rPr>
        <w:t xml:space="preserve"> 22 </w:t>
      </w:r>
      <w:r w:rsidR="00DB0C89" w:rsidRPr="00263AE1">
        <w:rPr>
          <w:sz w:val="20"/>
          <w:szCs w:val="20"/>
          <w:lang w:val="es-ES"/>
        </w:rPr>
        <w:t>a</w:t>
      </w:r>
      <w:r w:rsidRPr="00263AE1">
        <w:rPr>
          <w:sz w:val="20"/>
          <w:szCs w:val="20"/>
          <w:lang w:val="es-ES"/>
        </w:rPr>
        <w:t xml:space="preserve"> 26 </w:t>
      </w:r>
      <w:r w:rsidR="00263AE1" w:rsidRPr="00263AE1">
        <w:rPr>
          <w:sz w:val="20"/>
          <w:szCs w:val="20"/>
          <w:lang w:val="es-ES"/>
        </w:rPr>
        <w:t>de la Remisión por parte del Estado de Palestina, de 15 de Mayo de 2018.</w:t>
      </w:r>
    </w:p>
  </w:endnote>
  <w:endnote w:id="9">
    <w:p w14:paraId="1AB6091A" w14:textId="2E266872" w:rsidR="00486B58" w:rsidRPr="00486B58" w:rsidRDefault="001201FA" w:rsidP="00EB0508">
      <w:pPr>
        <w:pStyle w:val="Normal1"/>
        <w:spacing w:line="240" w:lineRule="auto"/>
        <w:contextualSpacing w:val="0"/>
        <w:jc w:val="both"/>
        <w:rPr>
          <w:sz w:val="20"/>
          <w:szCs w:val="20"/>
          <w:lang w:val="es-ES"/>
        </w:rPr>
      </w:pPr>
      <w:r w:rsidRPr="00EB0508">
        <w:rPr>
          <w:sz w:val="20"/>
          <w:szCs w:val="20"/>
          <w:vertAlign w:val="superscript"/>
        </w:rPr>
        <w:endnoteRef/>
      </w:r>
      <w:r w:rsidRPr="00486B58">
        <w:rPr>
          <w:sz w:val="20"/>
          <w:szCs w:val="20"/>
          <w:lang w:val="en-US"/>
        </w:rPr>
        <w:t xml:space="preserve"> </w:t>
      </w:r>
      <w:r w:rsidR="00375F93" w:rsidRPr="00486B58">
        <w:rPr>
          <w:sz w:val="20"/>
          <w:szCs w:val="20"/>
          <w:lang w:val="en-US"/>
        </w:rPr>
        <w:t xml:space="preserve">Ver </w:t>
      </w:r>
      <w:r w:rsidR="00EB0508" w:rsidRPr="00486B58">
        <w:rPr>
          <w:i/>
          <w:sz w:val="20"/>
          <w:szCs w:val="20"/>
          <w:lang w:val="en-US"/>
        </w:rPr>
        <w:t xml:space="preserve">supra </w:t>
      </w:r>
      <w:r w:rsidR="00375F93" w:rsidRPr="00486B58">
        <w:rPr>
          <w:sz w:val="20"/>
          <w:szCs w:val="20"/>
          <w:lang w:val="en-US"/>
        </w:rPr>
        <w:t>nota al pie</w:t>
      </w:r>
      <w:r w:rsidRPr="00486B58">
        <w:rPr>
          <w:sz w:val="20"/>
          <w:szCs w:val="20"/>
          <w:lang w:val="en-US"/>
        </w:rPr>
        <w:t xml:space="preserve"> vii, “</w:t>
      </w:r>
      <w:r w:rsidRPr="00EB0508">
        <w:rPr>
          <w:i/>
          <w:sz w:val="20"/>
          <w:szCs w:val="20"/>
        </w:rPr>
        <w:t>S</w:t>
      </w:r>
      <w:r w:rsidRPr="00486B58">
        <w:rPr>
          <w:i/>
          <w:sz w:val="20"/>
          <w:szCs w:val="20"/>
          <w:lang w:val="en-US"/>
        </w:rPr>
        <w:t>ituation of Palestine: Closure of Gaza”.</w:t>
      </w:r>
      <w:r w:rsidRPr="00486B58">
        <w:rPr>
          <w:sz w:val="20"/>
          <w:szCs w:val="20"/>
          <w:lang w:val="en-US"/>
        </w:rPr>
        <w:t xml:space="preserve"> </w:t>
      </w:r>
      <w:r w:rsidR="00486B58" w:rsidRPr="00486B58">
        <w:rPr>
          <w:sz w:val="20"/>
          <w:szCs w:val="20"/>
          <w:lang w:val="es-ES"/>
        </w:rPr>
        <w:t xml:space="preserve">Varias organizaciones palestinas de derechos humanos han presentado a la CPI comunicaciones confidenciales cuidadosamente investigadas a favor de las víctimas de crímenes de lesa humanidad cometidas por </w:t>
      </w:r>
      <w:r w:rsidR="00486B58">
        <w:rPr>
          <w:sz w:val="20"/>
          <w:szCs w:val="20"/>
          <w:lang w:val="es-ES"/>
        </w:rPr>
        <w:t>altos funcionarios israelíes en el curso de la</w:t>
      </w:r>
      <w:r w:rsidRPr="00486B58">
        <w:rPr>
          <w:sz w:val="20"/>
          <w:szCs w:val="20"/>
          <w:lang w:val="es-ES"/>
        </w:rPr>
        <w:t xml:space="preserve"> “Operation Protective Edge”. </w:t>
      </w:r>
    </w:p>
  </w:endnote>
  <w:endnote w:id="10">
    <w:p w14:paraId="67F905E0" w14:textId="7627B316" w:rsidR="001201FA" w:rsidRPr="00375F93" w:rsidRDefault="001201FA">
      <w:pPr>
        <w:pStyle w:val="EndnoteText"/>
        <w:rPr>
          <w:sz w:val="20"/>
          <w:szCs w:val="20"/>
          <w:highlight w:val="yellow"/>
          <w:lang w:val="es-ES"/>
        </w:rPr>
      </w:pPr>
      <w:r w:rsidRPr="00EB0508">
        <w:rPr>
          <w:rStyle w:val="EndnoteReference"/>
          <w:sz w:val="20"/>
          <w:szCs w:val="20"/>
        </w:rPr>
        <w:endnoteRef/>
      </w:r>
      <w:r w:rsidRPr="00EB0508">
        <w:rPr>
          <w:sz w:val="20"/>
          <w:szCs w:val="20"/>
          <w:lang w:val="es-ES"/>
        </w:rPr>
        <w:t xml:space="preserve"> </w:t>
      </w:r>
      <w:r w:rsidR="00DB0C89" w:rsidRPr="00EB0508">
        <w:rPr>
          <w:sz w:val="20"/>
          <w:szCs w:val="20"/>
          <w:lang w:val="es-ES"/>
        </w:rPr>
        <w:t xml:space="preserve">Informe de las conclusiones detalladas de la Comisión de Investigación </w:t>
      </w:r>
      <w:r w:rsidR="00356183" w:rsidRPr="00EB0508">
        <w:rPr>
          <w:sz w:val="20"/>
          <w:szCs w:val="20"/>
          <w:lang w:val="es-ES"/>
        </w:rPr>
        <w:t xml:space="preserve">independiente establecida en virtud de la Resolución s21/1 del </w:t>
      </w:r>
      <w:r w:rsidR="00375F93" w:rsidRPr="00EB0508">
        <w:rPr>
          <w:sz w:val="20"/>
          <w:szCs w:val="20"/>
          <w:lang w:val="es-ES"/>
        </w:rPr>
        <w:t>Consejo de Derechos Humanos, 24 de Junio de 2015</w:t>
      </w:r>
      <w:r w:rsidRPr="00EB0508">
        <w:rPr>
          <w:sz w:val="20"/>
          <w:szCs w:val="20"/>
          <w:lang w:val="es-ES"/>
        </w:rPr>
        <w:t xml:space="preserve"> A/HRC/29/CRP.4  [650] –[651]</w:t>
      </w:r>
      <w:r w:rsidR="00375F93" w:rsidRPr="00486B58">
        <w:rPr>
          <w:sz w:val="20"/>
          <w:szCs w:val="20"/>
          <w:lang w:val="es-ES"/>
        </w:rPr>
        <w:t>.</w:t>
      </w:r>
    </w:p>
  </w:endnote>
  <w:endnote w:id="11">
    <w:p w14:paraId="57636174" w14:textId="0F58C843" w:rsidR="001201FA" w:rsidRPr="00610EFE" w:rsidRDefault="001201FA">
      <w:pPr>
        <w:pStyle w:val="EndnoteText"/>
        <w:rPr>
          <w:sz w:val="20"/>
          <w:szCs w:val="20"/>
          <w:lang w:val="en-US"/>
        </w:rPr>
      </w:pPr>
      <w:r w:rsidRPr="00610EFE">
        <w:rPr>
          <w:rStyle w:val="EndnoteReference"/>
          <w:sz w:val="20"/>
          <w:szCs w:val="20"/>
        </w:rPr>
        <w:endnoteRef/>
      </w:r>
      <w:r w:rsidRPr="00610EFE">
        <w:rPr>
          <w:sz w:val="20"/>
          <w:szCs w:val="20"/>
          <w:lang w:val="es-ES"/>
        </w:rPr>
        <w:t xml:space="preserve"> </w:t>
      </w:r>
      <w:r w:rsidR="00610EFE" w:rsidRPr="00610EFE">
        <w:rPr>
          <w:sz w:val="20"/>
          <w:szCs w:val="20"/>
          <w:lang w:val="es-ES"/>
        </w:rPr>
        <w:t>Fecha de accesión 2 de enero de 2015, fecha de presentación de la declaración en virtud del artículo 12(3) del Estatuto de Roma, aceptando la jurisdicción de la CPI 1 de enero de 2015.</w:t>
      </w:r>
    </w:p>
  </w:endnote>
  <w:endnote w:id="12">
    <w:p w14:paraId="1A9E7B61" w14:textId="07E047A4" w:rsidR="001201FA" w:rsidRPr="00AA73D4" w:rsidRDefault="001201FA" w:rsidP="004E7347">
      <w:pPr>
        <w:pStyle w:val="EndnoteText"/>
        <w:jc w:val="both"/>
        <w:rPr>
          <w:sz w:val="20"/>
          <w:szCs w:val="20"/>
          <w:lang w:val="es-ES"/>
        </w:rPr>
      </w:pPr>
      <w:r w:rsidRPr="002F3D72">
        <w:rPr>
          <w:rStyle w:val="EndnoteReference"/>
          <w:sz w:val="20"/>
          <w:szCs w:val="20"/>
        </w:rPr>
        <w:endnoteRef/>
      </w:r>
      <w:r w:rsidRPr="00AA73D4">
        <w:rPr>
          <w:sz w:val="20"/>
          <w:szCs w:val="20"/>
          <w:lang w:val="es-ES"/>
        </w:rPr>
        <w:t xml:space="preserve"> </w:t>
      </w:r>
      <w:r w:rsidR="00650A7B" w:rsidRPr="00AA73D4">
        <w:rPr>
          <w:sz w:val="20"/>
          <w:szCs w:val="20"/>
          <w:lang w:val="es-ES"/>
        </w:rPr>
        <w:t>AGNU</w:t>
      </w:r>
      <w:r w:rsidRPr="00AA73D4">
        <w:rPr>
          <w:sz w:val="20"/>
          <w:szCs w:val="20"/>
          <w:lang w:val="es-ES"/>
        </w:rPr>
        <w:t xml:space="preserve"> ‘</w:t>
      </w:r>
      <w:r w:rsidR="00D93665" w:rsidRPr="00AA73D4">
        <w:rPr>
          <w:sz w:val="20"/>
          <w:szCs w:val="20"/>
          <w:lang w:val="es-ES"/>
        </w:rPr>
        <w:t>Estatuto de Palestina en las Naciones Unidas</w:t>
      </w:r>
      <w:r w:rsidRPr="00AA73D4">
        <w:rPr>
          <w:sz w:val="20"/>
          <w:szCs w:val="20"/>
          <w:lang w:val="es-ES"/>
        </w:rPr>
        <w:t xml:space="preserve">’ (2012) UN Doc </w:t>
      </w:r>
      <w:r w:rsidRPr="00AA73D4">
        <w:rPr>
          <w:sz w:val="20"/>
          <w:szCs w:val="20"/>
          <w:highlight w:val="white"/>
          <w:lang w:val="es-ES"/>
        </w:rPr>
        <w:t>A/RES/67/19, Art</w:t>
      </w:r>
      <w:r w:rsidR="00D068D2">
        <w:rPr>
          <w:sz w:val="20"/>
          <w:szCs w:val="20"/>
          <w:highlight w:val="white"/>
          <w:lang w:val="es-ES"/>
        </w:rPr>
        <w:t>ículo</w:t>
      </w:r>
      <w:r w:rsidRPr="00AA73D4">
        <w:rPr>
          <w:sz w:val="20"/>
          <w:szCs w:val="20"/>
          <w:highlight w:val="white"/>
          <w:lang w:val="es-ES"/>
        </w:rPr>
        <w:t xml:space="preserve"> 2</w:t>
      </w:r>
      <w:r w:rsidR="00895A14">
        <w:rPr>
          <w:sz w:val="20"/>
          <w:szCs w:val="20"/>
          <w:lang w:val="es-ES"/>
        </w:rPr>
        <w:t>.</w:t>
      </w:r>
    </w:p>
  </w:endnote>
  <w:endnote w:id="13">
    <w:p w14:paraId="4CF002B7" w14:textId="7280D8CD" w:rsidR="001201FA" w:rsidRPr="00AA73D4" w:rsidRDefault="001201FA" w:rsidP="004E7347">
      <w:pPr>
        <w:pStyle w:val="Normal1"/>
        <w:contextualSpacing w:val="0"/>
        <w:jc w:val="both"/>
        <w:rPr>
          <w:sz w:val="20"/>
          <w:szCs w:val="20"/>
          <w:lang w:val="es-ES"/>
        </w:rPr>
      </w:pPr>
      <w:r w:rsidRPr="002F3D72">
        <w:rPr>
          <w:rStyle w:val="EndnoteReference"/>
          <w:sz w:val="20"/>
          <w:szCs w:val="20"/>
        </w:rPr>
        <w:endnoteRef/>
      </w:r>
      <w:r w:rsidRPr="00AA73D4">
        <w:rPr>
          <w:sz w:val="20"/>
          <w:szCs w:val="20"/>
          <w:lang w:val="es-ES"/>
        </w:rPr>
        <w:t xml:space="preserve"> </w:t>
      </w:r>
      <w:r w:rsidR="00DC0C0F" w:rsidRPr="00AA73D4">
        <w:rPr>
          <w:sz w:val="20"/>
          <w:szCs w:val="20"/>
          <w:lang w:val="es-ES"/>
        </w:rPr>
        <w:t xml:space="preserve">La Fiscal de la Corte Penal Internacional, </w:t>
      </w:r>
      <w:r w:rsidRPr="00AA73D4">
        <w:rPr>
          <w:sz w:val="20"/>
          <w:szCs w:val="20"/>
          <w:lang w:val="es-ES"/>
        </w:rPr>
        <w:t xml:space="preserve">Fatou Bensouda, </w:t>
      </w:r>
      <w:r w:rsidR="00C82D03" w:rsidRPr="00AA73D4">
        <w:rPr>
          <w:sz w:val="20"/>
          <w:szCs w:val="20"/>
          <w:lang w:val="es-ES"/>
        </w:rPr>
        <w:t>abre un examen preliminar de la situaci</w:t>
      </w:r>
      <w:r w:rsidR="00C82D03">
        <w:rPr>
          <w:sz w:val="20"/>
          <w:szCs w:val="20"/>
          <w:lang w:val="es-ES"/>
        </w:rPr>
        <w:t>ón en Palestina, 16 de enero de 2015.</w:t>
      </w:r>
    </w:p>
  </w:endnote>
  <w:endnote w:id="14">
    <w:p w14:paraId="2EA51573" w14:textId="165E9BCC" w:rsidR="001201FA" w:rsidRPr="00AA73D4" w:rsidRDefault="001201FA" w:rsidP="004E7347">
      <w:pPr>
        <w:pStyle w:val="EndnoteText"/>
        <w:jc w:val="both"/>
        <w:rPr>
          <w:sz w:val="20"/>
          <w:szCs w:val="20"/>
          <w:lang w:val="es-ES"/>
        </w:rPr>
      </w:pPr>
      <w:r w:rsidRPr="002F3D72">
        <w:rPr>
          <w:rStyle w:val="EndnoteReference"/>
          <w:sz w:val="20"/>
          <w:szCs w:val="20"/>
        </w:rPr>
        <w:endnoteRef/>
      </w:r>
      <w:r w:rsidRPr="00AA73D4">
        <w:rPr>
          <w:sz w:val="20"/>
          <w:szCs w:val="20"/>
          <w:lang w:val="es-ES"/>
        </w:rPr>
        <w:t xml:space="preserve"> </w:t>
      </w:r>
      <w:r w:rsidR="00DC0C0F" w:rsidRPr="00AA73D4">
        <w:rPr>
          <w:sz w:val="20"/>
          <w:szCs w:val="20"/>
          <w:lang w:val="es-ES"/>
        </w:rPr>
        <w:t xml:space="preserve">Ver </w:t>
      </w:r>
      <w:r w:rsidR="00DC0C0F" w:rsidRPr="00AA73D4">
        <w:rPr>
          <w:i/>
          <w:sz w:val="20"/>
          <w:szCs w:val="20"/>
          <w:lang w:val="es-ES"/>
        </w:rPr>
        <w:t>supra</w:t>
      </w:r>
      <w:r w:rsidR="00DC0C0F" w:rsidRPr="00AA73D4">
        <w:rPr>
          <w:sz w:val="20"/>
          <w:szCs w:val="20"/>
          <w:lang w:val="es-ES"/>
        </w:rPr>
        <w:t>, notas al pie vii, ix</w:t>
      </w:r>
      <w:r w:rsidRPr="00AA73D4">
        <w:rPr>
          <w:sz w:val="20"/>
          <w:szCs w:val="20"/>
          <w:lang w:val="es-ES"/>
        </w:rPr>
        <w:t>.</w:t>
      </w:r>
    </w:p>
  </w:endnote>
  <w:endnote w:id="15">
    <w:p w14:paraId="613261C5" w14:textId="77777777" w:rsidR="0021617D" w:rsidRPr="00AA73D4" w:rsidRDefault="0021617D" w:rsidP="0021617D">
      <w:pPr>
        <w:pStyle w:val="Normal1"/>
        <w:contextualSpacing w:val="0"/>
        <w:jc w:val="both"/>
        <w:rPr>
          <w:sz w:val="20"/>
          <w:szCs w:val="20"/>
          <w:lang w:val="es-ES"/>
        </w:rPr>
      </w:pPr>
      <w:r w:rsidRPr="002F3D72">
        <w:rPr>
          <w:rStyle w:val="EndnoteReference"/>
          <w:sz w:val="20"/>
          <w:szCs w:val="20"/>
        </w:rPr>
        <w:endnoteRef/>
      </w:r>
      <w:r w:rsidRPr="00AA73D4">
        <w:rPr>
          <w:sz w:val="20"/>
          <w:szCs w:val="20"/>
          <w:lang w:val="es-ES"/>
        </w:rPr>
        <w:t xml:space="preserve"> Estatuto de Roma, Preámbulo y Art</w:t>
      </w:r>
      <w:r>
        <w:rPr>
          <w:sz w:val="20"/>
          <w:szCs w:val="20"/>
          <w:lang w:val="es-ES"/>
        </w:rPr>
        <w:t>ículo 21</w:t>
      </w:r>
    </w:p>
  </w:endnote>
  <w:endnote w:id="16">
    <w:p w14:paraId="329862FE" w14:textId="1E0267AE" w:rsidR="00945093" w:rsidRPr="00AA73D4" w:rsidRDefault="00945093" w:rsidP="00945093">
      <w:pPr>
        <w:pStyle w:val="EndnoteText"/>
        <w:jc w:val="both"/>
        <w:rPr>
          <w:lang w:val="es-ES"/>
        </w:rPr>
      </w:pPr>
      <w:r w:rsidRPr="002F3D72">
        <w:rPr>
          <w:rStyle w:val="EndnoteReference"/>
          <w:sz w:val="20"/>
          <w:szCs w:val="20"/>
        </w:rPr>
        <w:endnoteRef/>
      </w:r>
      <w:r>
        <w:rPr>
          <w:sz w:val="20"/>
          <w:szCs w:val="20"/>
          <w:lang w:val="es-ES"/>
        </w:rPr>
        <w:t xml:space="preserve"> </w:t>
      </w:r>
      <w:r w:rsidRPr="00AA73D4">
        <w:rPr>
          <w:sz w:val="20"/>
          <w:szCs w:val="20"/>
          <w:lang w:val="es-ES"/>
        </w:rPr>
        <w:t xml:space="preserve">Comité de Derechos Humanos de Naciones Unidas, </w:t>
      </w:r>
      <w:r>
        <w:rPr>
          <w:sz w:val="20"/>
          <w:szCs w:val="20"/>
          <w:lang w:val="es-ES"/>
        </w:rPr>
        <w:t>Comentario General No. 20;</w:t>
      </w:r>
      <w:r w:rsidRPr="00AA73D4">
        <w:rPr>
          <w:sz w:val="20"/>
          <w:szCs w:val="20"/>
          <w:lang w:val="es-ES"/>
        </w:rPr>
        <w:t xml:space="preserve"> </w:t>
      </w:r>
      <w:r w:rsidR="00BC167F">
        <w:rPr>
          <w:rFonts w:eastAsia="Times"/>
          <w:sz w:val="20"/>
          <w:szCs w:val="20"/>
          <w:lang w:val="es-ES"/>
        </w:rPr>
        <w:t>Velasquez Rodrí</w:t>
      </w:r>
      <w:r w:rsidRPr="00AA73D4">
        <w:rPr>
          <w:rFonts w:eastAsia="Times"/>
          <w:sz w:val="20"/>
          <w:szCs w:val="20"/>
          <w:lang w:val="es-ES"/>
        </w:rPr>
        <w:t xml:space="preserve">guez </w:t>
      </w:r>
      <w:r>
        <w:rPr>
          <w:rFonts w:eastAsia="Times"/>
          <w:sz w:val="20"/>
          <w:szCs w:val="20"/>
          <w:lang w:val="es-ES"/>
        </w:rPr>
        <w:t>Corte IDH</w:t>
      </w:r>
      <w:r w:rsidRPr="00AA73D4">
        <w:rPr>
          <w:rFonts w:eastAsia="Times"/>
          <w:sz w:val="20"/>
          <w:szCs w:val="20"/>
          <w:lang w:val="es-ES"/>
        </w:rPr>
        <w:t xml:space="preserve"> Series C 4 (1988) [174], [176] </w:t>
      </w:r>
      <w:r>
        <w:rPr>
          <w:rFonts w:eastAsia="Times"/>
          <w:sz w:val="20"/>
          <w:szCs w:val="20"/>
          <w:lang w:val="es-ES"/>
        </w:rPr>
        <w:t xml:space="preserve">y </w:t>
      </w:r>
      <w:r w:rsidRPr="00AA73D4">
        <w:rPr>
          <w:rFonts w:eastAsia="Times"/>
          <w:sz w:val="20"/>
          <w:szCs w:val="20"/>
          <w:lang w:val="es-ES"/>
        </w:rPr>
        <w:t xml:space="preserve">[177] </w:t>
      </w:r>
      <w:r w:rsidRPr="00AA73D4">
        <w:rPr>
          <w:rFonts w:eastAsia="Times New Roman"/>
          <w:sz w:val="20"/>
          <w:szCs w:val="20"/>
          <w:lang w:val="es-ES"/>
        </w:rPr>
        <w:t xml:space="preserve">Estamirov </w:t>
      </w:r>
      <w:r>
        <w:rPr>
          <w:rFonts w:eastAsia="Times New Roman"/>
          <w:sz w:val="20"/>
          <w:szCs w:val="20"/>
          <w:lang w:val="es-ES"/>
        </w:rPr>
        <w:t>y Otros</w:t>
      </w:r>
      <w:r w:rsidRPr="00AA73D4">
        <w:rPr>
          <w:rFonts w:eastAsia="Times New Roman"/>
          <w:sz w:val="20"/>
          <w:szCs w:val="20"/>
          <w:lang w:val="es-ES"/>
        </w:rPr>
        <w:t xml:space="preserve"> v. Rusia </w:t>
      </w:r>
      <w:r>
        <w:rPr>
          <w:rFonts w:eastAsia="Times New Roman"/>
          <w:sz w:val="20"/>
          <w:szCs w:val="20"/>
          <w:lang w:val="es-ES"/>
        </w:rPr>
        <w:t>TEDH</w:t>
      </w:r>
      <w:r w:rsidRPr="00AA73D4">
        <w:rPr>
          <w:rFonts w:eastAsia="Times New Roman"/>
          <w:sz w:val="20"/>
          <w:szCs w:val="20"/>
          <w:lang w:val="es-ES"/>
        </w:rPr>
        <w:t xml:space="preserve"> </w:t>
      </w:r>
      <w:r w:rsidR="0047286D">
        <w:rPr>
          <w:rFonts w:eastAsia="Times New Roman"/>
          <w:sz w:val="20"/>
          <w:szCs w:val="20"/>
          <w:lang w:val="es-ES"/>
        </w:rPr>
        <w:t>párr.</w:t>
      </w:r>
      <w:r w:rsidRPr="00AA73D4">
        <w:rPr>
          <w:rFonts w:eastAsia="Times New Roman"/>
          <w:sz w:val="20"/>
          <w:szCs w:val="20"/>
          <w:lang w:val="es-ES"/>
        </w:rPr>
        <w:t xml:space="preserve"> [89]</w:t>
      </w:r>
      <w:r>
        <w:rPr>
          <w:rFonts w:eastAsia="Times New Roman"/>
          <w:sz w:val="20"/>
          <w:szCs w:val="20"/>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691C" w14:textId="77777777" w:rsidR="001A3F8C" w:rsidRDefault="001A3F8C">
      <w:pPr>
        <w:spacing w:line="240" w:lineRule="auto"/>
      </w:pPr>
      <w:r>
        <w:separator/>
      </w:r>
    </w:p>
  </w:footnote>
  <w:footnote w:type="continuationSeparator" w:id="0">
    <w:p w14:paraId="5AEB3702" w14:textId="77777777" w:rsidR="001A3F8C" w:rsidRDefault="001A3F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297E"/>
    <w:multiLevelType w:val="hybridMultilevel"/>
    <w:tmpl w:val="FF1A19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2AEF"/>
    <w:rsid w:val="000120D4"/>
    <w:rsid w:val="00020534"/>
    <w:rsid w:val="00045BF2"/>
    <w:rsid w:val="00062216"/>
    <w:rsid w:val="00062AB6"/>
    <w:rsid w:val="00074BE8"/>
    <w:rsid w:val="00082BF4"/>
    <w:rsid w:val="000A50F8"/>
    <w:rsid w:val="000B51C3"/>
    <w:rsid w:val="000C7875"/>
    <w:rsid w:val="000E67D0"/>
    <w:rsid w:val="00106D9C"/>
    <w:rsid w:val="00116540"/>
    <w:rsid w:val="001201FA"/>
    <w:rsid w:val="00154DF5"/>
    <w:rsid w:val="00155C8A"/>
    <w:rsid w:val="00181BE7"/>
    <w:rsid w:val="001A3F8C"/>
    <w:rsid w:val="001B110A"/>
    <w:rsid w:val="001F572D"/>
    <w:rsid w:val="0021617D"/>
    <w:rsid w:val="002169CB"/>
    <w:rsid w:val="00243E87"/>
    <w:rsid w:val="00256BE1"/>
    <w:rsid w:val="0026191E"/>
    <w:rsid w:val="00263AE1"/>
    <w:rsid w:val="002B0D4A"/>
    <w:rsid w:val="002B7B7D"/>
    <w:rsid w:val="002D2361"/>
    <w:rsid w:val="002F124C"/>
    <w:rsid w:val="002F3D72"/>
    <w:rsid w:val="0030295E"/>
    <w:rsid w:val="00306384"/>
    <w:rsid w:val="00310697"/>
    <w:rsid w:val="003237C5"/>
    <w:rsid w:val="003511D1"/>
    <w:rsid w:val="00356183"/>
    <w:rsid w:val="00375F93"/>
    <w:rsid w:val="003817C1"/>
    <w:rsid w:val="0038667D"/>
    <w:rsid w:val="003919A5"/>
    <w:rsid w:val="003A4FA8"/>
    <w:rsid w:val="003B11CE"/>
    <w:rsid w:val="003C7A87"/>
    <w:rsid w:val="003F11CD"/>
    <w:rsid w:val="00401B30"/>
    <w:rsid w:val="00432850"/>
    <w:rsid w:val="00432C80"/>
    <w:rsid w:val="00471A80"/>
    <w:rsid w:val="0047286D"/>
    <w:rsid w:val="00486B58"/>
    <w:rsid w:val="004A2115"/>
    <w:rsid w:val="004B49AB"/>
    <w:rsid w:val="004C6454"/>
    <w:rsid w:val="004D2D4E"/>
    <w:rsid w:val="004E7347"/>
    <w:rsid w:val="004F6F90"/>
    <w:rsid w:val="00501442"/>
    <w:rsid w:val="00506A4F"/>
    <w:rsid w:val="005117D4"/>
    <w:rsid w:val="005144F1"/>
    <w:rsid w:val="00522192"/>
    <w:rsid w:val="00530587"/>
    <w:rsid w:val="00547CD3"/>
    <w:rsid w:val="00564348"/>
    <w:rsid w:val="00566F7C"/>
    <w:rsid w:val="005942C9"/>
    <w:rsid w:val="005D6D9C"/>
    <w:rsid w:val="005E5034"/>
    <w:rsid w:val="005F3DCF"/>
    <w:rsid w:val="0060544D"/>
    <w:rsid w:val="00610EFE"/>
    <w:rsid w:val="0063049C"/>
    <w:rsid w:val="0063478C"/>
    <w:rsid w:val="00650A7B"/>
    <w:rsid w:val="00655D00"/>
    <w:rsid w:val="006679BF"/>
    <w:rsid w:val="00683AD1"/>
    <w:rsid w:val="006A641E"/>
    <w:rsid w:val="006B4929"/>
    <w:rsid w:val="006C7C5A"/>
    <w:rsid w:val="006F7B02"/>
    <w:rsid w:val="007060CF"/>
    <w:rsid w:val="0071110F"/>
    <w:rsid w:val="007369C2"/>
    <w:rsid w:val="0074573B"/>
    <w:rsid w:val="00747600"/>
    <w:rsid w:val="00757F68"/>
    <w:rsid w:val="0077306E"/>
    <w:rsid w:val="007754BB"/>
    <w:rsid w:val="00795701"/>
    <w:rsid w:val="00801B00"/>
    <w:rsid w:val="00815E81"/>
    <w:rsid w:val="008545F4"/>
    <w:rsid w:val="00855002"/>
    <w:rsid w:val="00895A14"/>
    <w:rsid w:val="008C01F5"/>
    <w:rsid w:val="008C13BD"/>
    <w:rsid w:val="008C39D2"/>
    <w:rsid w:val="008D4626"/>
    <w:rsid w:val="008D5B74"/>
    <w:rsid w:val="008D6E93"/>
    <w:rsid w:val="008F0F19"/>
    <w:rsid w:val="00916492"/>
    <w:rsid w:val="0092617A"/>
    <w:rsid w:val="009409F9"/>
    <w:rsid w:val="00945093"/>
    <w:rsid w:val="00961445"/>
    <w:rsid w:val="00976E85"/>
    <w:rsid w:val="009808F3"/>
    <w:rsid w:val="00986030"/>
    <w:rsid w:val="0099324B"/>
    <w:rsid w:val="009D2AEF"/>
    <w:rsid w:val="009D653B"/>
    <w:rsid w:val="009F357F"/>
    <w:rsid w:val="00A13EE4"/>
    <w:rsid w:val="00A316CF"/>
    <w:rsid w:val="00A32BA7"/>
    <w:rsid w:val="00A44D73"/>
    <w:rsid w:val="00A67D4D"/>
    <w:rsid w:val="00A807DF"/>
    <w:rsid w:val="00A9634E"/>
    <w:rsid w:val="00AA2C7C"/>
    <w:rsid w:val="00AA73D4"/>
    <w:rsid w:val="00AB7DE6"/>
    <w:rsid w:val="00B13B8F"/>
    <w:rsid w:val="00B211FA"/>
    <w:rsid w:val="00B6338B"/>
    <w:rsid w:val="00B74C2D"/>
    <w:rsid w:val="00B84139"/>
    <w:rsid w:val="00B84F83"/>
    <w:rsid w:val="00BA13E5"/>
    <w:rsid w:val="00BB12B7"/>
    <w:rsid w:val="00BC167F"/>
    <w:rsid w:val="00C22248"/>
    <w:rsid w:val="00C45263"/>
    <w:rsid w:val="00C82D03"/>
    <w:rsid w:val="00CC688C"/>
    <w:rsid w:val="00CD2955"/>
    <w:rsid w:val="00CD5407"/>
    <w:rsid w:val="00CD6F1F"/>
    <w:rsid w:val="00CE1104"/>
    <w:rsid w:val="00D03A9C"/>
    <w:rsid w:val="00D068D2"/>
    <w:rsid w:val="00D23283"/>
    <w:rsid w:val="00D524ED"/>
    <w:rsid w:val="00D93665"/>
    <w:rsid w:val="00DB0C89"/>
    <w:rsid w:val="00DC0C0F"/>
    <w:rsid w:val="00DE3FAC"/>
    <w:rsid w:val="00E1698E"/>
    <w:rsid w:val="00E24E99"/>
    <w:rsid w:val="00E5279F"/>
    <w:rsid w:val="00E616B7"/>
    <w:rsid w:val="00E801ED"/>
    <w:rsid w:val="00EA71A8"/>
    <w:rsid w:val="00EB0508"/>
    <w:rsid w:val="00EB0B55"/>
    <w:rsid w:val="00EB4F29"/>
    <w:rsid w:val="00EE6A89"/>
    <w:rsid w:val="00EF0FCA"/>
    <w:rsid w:val="00EF3C2D"/>
    <w:rsid w:val="00F005AB"/>
    <w:rsid w:val="00F17DAB"/>
    <w:rsid w:val="00F32C83"/>
    <w:rsid w:val="00F350A4"/>
    <w:rsid w:val="00F54503"/>
    <w:rsid w:val="00F712E5"/>
    <w:rsid w:val="00F717DD"/>
    <w:rsid w:val="00F80B5E"/>
    <w:rsid w:val="00F8197C"/>
    <w:rsid w:val="00F826CD"/>
    <w:rsid w:val="00F87B15"/>
    <w:rsid w:val="00F9226E"/>
    <w:rsid w:val="00FB01DA"/>
    <w:rsid w:val="00FB7450"/>
    <w:rsid w:val="00FF5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B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7F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F68"/>
    <w:rPr>
      <w:rFonts w:ascii="Lucida Grande" w:hAnsi="Lucida Grande" w:cs="Lucida Grande"/>
      <w:sz w:val="18"/>
      <w:szCs w:val="18"/>
    </w:rPr>
  </w:style>
  <w:style w:type="paragraph" w:styleId="FootnoteText">
    <w:name w:val="footnote text"/>
    <w:basedOn w:val="Normal"/>
    <w:link w:val="FootnoteTextChar"/>
    <w:uiPriority w:val="99"/>
    <w:unhideWhenUsed/>
    <w:rsid w:val="00757F68"/>
    <w:pPr>
      <w:spacing w:line="240" w:lineRule="auto"/>
    </w:pPr>
    <w:rPr>
      <w:sz w:val="24"/>
      <w:szCs w:val="24"/>
    </w:rPr>
  </w:style>
  <w:style w:type="character" w:customStyle="1" w:styleId="FootnoteTextChar">
    <w:name w:val="Footnote Text Char"/>
    <w:basedOn w:val="DefaultParagraphFont"/>
    <w:link w:val="FootnoteText"/>
    <w:uiPriority w:val="99"/>
    <w:rsid w:val="00757F68"/>
    <w:rPr>
      <w:sz w:val="24"/>
      <w:szCs w:val="24"/>
    </w:rPr>
  </w:style>
  <w:style w:type="character" w:styleId="FootnoteReference">
    <w:name w:val="footnote reference"/>
    <w:basedOn w:val="DefaultParagraphFont"/>
    <w:uiPriority w:val="99"/>
    <w:unhideWhenUsed/>
    <w:rsid w:val="00757F68"/>
    <w:rPr>
      <w:vertAlign w:val="superscript"/>
    </w:rPr>
  </w:style>
  <w:style w:type="paragraph" w:styleId="CommentSubject">
    <w:name w:val="annotation subject"/>
    <w:basedOn w:val="CommentText"/>
    <w:next w:val="CommentText"/>
    <w:link w:val="CommentSubjectChar"/>
    <w:uiPriority w:val="99"/>
    <w:semiHidden/>
    <w:unhideWhenUsed/>
    <w:rsid w:val="00757F68"/>
    <w:rPr>
      <w:b/>
      <w:bCs/>
      <w:sz w:val="20"/>
      <w:szCs w:val="20"/>
    </w:rPr>
  </w:style>
  <w:style w:type="character" w:customStyle="1" w:styleId="CommentSubjectChar">
    <w:name w:val="Comment Subject Char"/>
    <w:basedOn w:val="CommentTextChar"/>
    <w:link w:val="CommentSubject"/>
    <w:uiPriority w:val="99"/>
    <w:semiHidden/>
    <w:rsid w:val="00757F68"/>
    <w:rPr>
      <w:b/>
      <w:bCs/>
      <w:sz w:val="20"/>
      <w:szCs w:val="20"/>
    </w:rPr>
  </w:style>
  <w:style w:type="character" w:styleId="Hyperlink">
    <w:name w:val="Hyperlink"/>
    <w:basedOn w:val="DefaultParagraphFont"/>
    <w:uiPriority w:val="99"/>
    <w:unhideWhenUsed/>
    <w:rsid w:val="002F3D72"/>
    <w:rPr>
      <w:color w:val="0000FF" w:themeColor="hyperlink"/>
      <w:u w:val="single"/>
    </w:rPr>
  </w:style>
  <w:style w:type="character" w:styleId="FollowedHyperlink">
    <w:name w:val="FollowedHyperlink"/>
    <w:basedOn w:val="DefaultParagraphFont"/>
    <w:uiPriority w:val="99"/>
    <w:semiHidden/>
    <w:unhideWhenUsed/>
    <w:rsid w:val="002F3D72"/>
    <w:rPr>
      <w:color w:val="800080" w:themeColor="followedHyperlink"/>
      <w:u w:val="single"/>
    </w:rPr>
  </w:style>
  <w:style w:type="paragraph" w:styleId="EndnoteText">
    <w:name w:val="endnote text"/>
    <w:basedOn w:val="Normal"/>
    <w:link w:val="EndnoteTextChar"/>
    <w:uiPriority w:val="99"/>
    <w:semiHidden/>
    <w:unhideWhenUsed/>
    <w:rsid w:val="00A9634E"/>
    <w:pPr>
      <w:spacing w:line="240" w:lineRule="auto"/>
    </w:pPr>
    <w:rPr>
      <w:sz w:val="24"/>
      <w:szCs w:val="24"/>
    </w:rPr>
  </w:style>
  <w:style w:type="character" w:customStyle="1" w:styleId="EndnoteTextChar">
    <w:name w:val="Endnote Text Char"/>
    <w:basedOn w:val="DefaultParagraphFont"/>
    <w:link w:val="EndnoteText"/>
    <w:uiPriority w:val="99"/>
    <w:semiHidden/>
    <w:rsid w:val="00A9634E"/>
    <w:rPr>
      <w:sz w:val="24"/>
      <w:szCs w:val="24"/>
    </w:rPr>
  </w:style>
  <w:style w:type="character" w:styleId="EndnoteReference">
    <w:name w:val="endnote reference"/>
    <w:basedOn w:val="DefaultParagraphFont"/>
    <w:uiPriority w:val="99"/>
    <w:semiHidden/>
    <w:unhideWhenUsed/>
    <w:rsid w:val="00A9634E"/>
    <w:rPr>
      <w:vertAlign w:val="superscript"/>
    </w:rPr>
  </w:style>
  <w:style w:type="character" w:styleId="Emphasis">
    <w:name w:val="Emphasis"/>
    <w:basedOn w:val="DefaultParagraphFont"/>
    <w:uiPriority w:val="20"/>
    <w:qFormat/>
    <w:rsid w:val="00EF3C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7F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F68"/>
    <w:rPr>
      <w:rFonts w:ascii="Lucida Grande" w:hAnsi="Lucida Grande" w:cs="Lucida Grande"/>
      <w:sz w:val="18"/>
      <w:szCs w:val="18"/>
    </w:rPr>
  </w:style>
  <w:style w:type="paragraph" w:styleId="FootnoteText">
    <w:name w:val="footnote text"/>
    <w:basedOn w:val="Normal"/>
    <w:link w:val="FootnoteTextChar"/>
    <w:uiPriority w:val="99"/>
    <w:unhideWhenUsed/>
    <w:rsid w:val="00757F68"/>
    <w:pPr>
      <w:spacing w:line="240" w:lineRule="auto"/>
    </w:pPr>
    <w:rPr>
      <w:sz w:val="24"/>
      <w:szCs w:val="24"/>
    </w:rPr>
  </w:style>
  <w:style w:type="character" w:customStyle="1" w:styleId="FootnoteTextChar">
    <w:name w:val="Footnote Text Char"/>
    <w:basedOn w:val="DefaultParagraphFont"/>
    <w:link w:val="FootnoteText"/>
    <w:uiPriority w:val="99"/>
    <w:rsid w:val="00757F68"/>
    <w:rPr>
      <w:sz w:val="24"/>
      <w:szCs w:val="24"/>
    </w:rPr>
  </w:style>
  <w:style w:type="character" w:styleId="FootnoteReference">
    <w:name w:val="footnote reference"/>
    <w:basedOn w:val="DefaultParagraphFont"/>
    <w:uiPriority w:val="99"/>
    <w:unhideWhenUsed/>
    <w:rsid w:val="00757F68"/>
    <w:rPr>
      <w:vertAlign w:val="superscript"/>
    </w:rPr>
  </w:style>
  <w:style w:type="paragraph" w:styleId="CommentSubject">
    <w:name w:val="annotation subject"/>
    <w:basedOn w:val="CommentText"/>
    <w:next w:val="CommentText"/>
    <w:link w:val="CommentSubjectChar"/>
    <w:uiPriority w:val="99"/>
    <w:semiHidden/>
    <w:unhideWhenUsed/>
    <w:rsid w:val="00757F68"/>
    <w:rPr>
      <w:b/>
      <w:bCs/>
      <w:sz w:val="20"/>
      <w:szCs w:val="20"/>
    </w:rPr>
  </w:style>
  <w:style w:type="character" w:customStyle="1" w:styleId="CommentSubjectChar">
    <w:name w:val="Comment Subject Char"/>
    <w:basedOn w:val="CommentTextChar"/>
    <w:link w:val="CommentSubject"/>
    <w:uiPriority w:val="99"/>
    <w:semiHidden/>
    <w:rsid w:val="00757F68"/>
    <w:rPr>
      <w:b/>
      <w:bCs/>
      <w:sz w:val="20"/>
      <w:szCs w:val="20"/>
    </w:rPr>
  </w:style>
  <w:style w:type="character" w:styleId="Hyperlink">
    <w:name w:val="Hyperlink"/>
    <w:basedOn w:val="DefaultParagraphFont"/>
    <w:uiPriority w:val="99"/>
    <w:unhideWhenUsed/>
    <w:rsid w:val="002F3D72"/>
    <w:rPr>
      <w:color w:val="0000FF" w:themeColor="hyperlink"/>
      <w:u w:val="single"/>
    </w:rPr>
  </w:style>
  <w:style w:type="character" w:styleId="FollowedHyperlink">
    <w:name w:val="FollowedHyperlink"/>
    <w:basedOn w:val="DefaultParagraphFont"/>
    <w:uiPriority w:val="99"/>
    <w:semiHidden/>
    <w:unhideWhenUsed/>
    <w:rsid w:val="002F3D72"/>
    <w:rPr>
      <w:color w:val="800080" w:themeColor="followedHyperlink"/>
      <w:u w:val="single"/>
    </w:rPr>
  </w:style>
  <w:style w:type="paragraph" w:styleId="EndnoteText">
    <w:name w:val="endnote text"/>
    <w:basedOn w:val="Normal"/>
    <w:link w:val="EndnoteTextChar"/>
    <w:uiPriority w:val="99"/>
    <w:semiHidden/>
    <w:unhideWhenUsed/>
    <w:rsid w:val="00A9634E"/>
    <w:pPr>
      <w:spacing w:line="240" w:lineRule="auto"/>
    </w:pPr>
    <w:rPr>
      <w:sz w:val="24"/>
      <w:szCs w:val="24"/>
    </w:rPr>
  </w:style>
  <w:style w:type="character" w:customStyle="1" w:styleId="EndnoteTextChar">
    <w:name w:val="Endnote Text Char"/>
    <w:basedOn w:val="DefaultParagraphFont"/>
    <w:link w:val="EndnoteText"/>
    <w:uiPriority w:val="99"/>
    <w:semiHidden/>
    <w:rsid w:val="00A9634E"/>
    <w:rPr>
      <w:sz w:val="24"/>
      <w:szCs w:val="24"/>
    </w:rPr>
  </w:style>
  <w:style w:type="character" w:styleId="EndnoteReference">
    <w:name w:val="endnote reference"/>
    <w:basedOn w:val="DefaultParagraphFont"/>
    <w:uiPriority w:val="99"/>
    <w:semiHidden/>
    <w:unhideWhenUsed/>
    <w:rsid w:val="00A9634E"/>
    <w:rPr>
      <w:vertAlign w:val="superscript"/>
    </w:rPr>
  </w:style>
  <w:style w:type="character" w:styleId="Emphasis">
    <w:name w:val="Emphasis"/>
    <w:basedOn w:val="DefaultParagraphFont"/>
    <w:uiPriority w:val="20"/>
    <w:qFormat/>
    <w:rsid w:val="00EF3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6468">
      <w:bodyDiv w:val="1"/>
      <w:marLeft w:val="0"/>
      <w:marRight w:val="0"/>
      <w:marTop w:val="0"/>
      <w:marBottom w:val="0"/>
      <w:divBdr>
        <w:top w:val="none" w:sz="0" w:space="0" w:color="auto"/>
        <w:left w:val="none" w:sz="0" w:space="0" w:color="auto"/>
        <w:bottom w:val="none" w:sz="0" w:space="0" w:color="auto"/>
        <w:right w:val="none" w:sz="0" w:space="0" w:color="auto"/>
      </w:divBdr>
    </w:div>
    <w:div w:id="16500163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31">
          <w:marLeft w:val="0"/>
          <w:marRight w:val="0"/>
          <w:marTop w:val="0"/>
          <w:marBottom w:val="0"/>
          <w:divBdr>
            <w:top w:val="none" w:sz="0" w:space="0" w:color="auto"/>
            <w:left w:val="none" w:sz="0" w:space="0" w:color="auto"/>
            <w:bottom w:val="none" w:sz="0" w:space="0" w:color="auto"/>
            <w:right w:val="none" w:sz="0" w:space="0" w:color="auto"/>
          </w:divBdr>
        </w:div>
        <w:div w:id="799761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E98C-F57C-4133-9EC7-550A1B6B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GPI</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Kates</dc:creator>
  <cp:lastModifiedBy>Charlotte Kates</cp:lastModifiedBy>
  <cp:revision>2</cp:revision>
  <dcterms:created xsi:type="dcterms:W3CDTF">2018-09-16T16:30:00Z</dcterms:created>
  <dcterms:modified xsi:type="dcterms:W3CDTF">2018-09-16T16:30:00Z</dcterms:modified>
</cp:coreProperties>
</file>