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0D12" w14:textId="48F85394" w:rsidR="00965CDB" w:rsidRDefault="00965CDB">
      <w:pPr>
        <w:contextualSpacing w:val="0"/>
        <w:jc w:val="center"/>
      </w:pPr>
      <w:r>
        <w:t>CAMPAGNE D’AVOCATS INTERNATIONAUX</w:t>
      </w:r>
    </w:p>
    <w:p w14:paraId="2DB61E29" w14:textId="632CCCEA" w:rsidR="00D6671C" w:rsidRDefault="00694F43">
      <w:pPr>
        <w:contextualSpacing w:val="0"/>
        <w:jc w:val="center"/>
      </w:pPr>
      <w:r>
        <w:t>POUR L’</w:t>
      </w:r>
      <w:r w:rsidR="00D6671C">
        <w:t>OUVERTURE D’UNE ENQUÊTE ET L’ENGAGEMENT DE</w:t>
      </w:r>
      <w:r>
        <w:t xml:space="preserve"> </w:t>
      </w:r>
      <w:r w:rsidR="00D6671C">
        <w:t>POURSUITES</w:t>
      </w:r>
    </w:p>
    <w:p w14:paraId="3BA7E9EE" w14:textId="68E77F34" w:rsidR="00822C69" w:rsidRDefault="00586338">
      <w:pPr>
        <w:contextualSpacing w:val="0"/>
        <w:jc w:val="center"/>
      </w:pPr>
      <w:r>
        <w:t>CONCERNANT LES</w:t>
      </w:r>
      <w:r w:rsidR="00694F43">
        <w:t xml:space="preserve"> CRIMES</w:t>
      </w:r>
      <w:r w:rsidR="00D6671C">
        <w:t xml:space="preserve"> </w:t>
      </w:r>
      <w:r w:rsidR="00694F43">
        <w:t xml:space="preserve">COMMIS </w:t>
      </w:r>
      <w:r>
        <w:t>À L’ENCONTRE DU</w:t>
      </w:r>
      <w:r w:rsidR="00694F43">
        <w:t xml:space="preserve"> PEUPLE PALESTINIEN</w:t>
      </w:r>
    </w:p>
    <w:p w14:paraId="5011C6AE" w14:textId="77777777" w:rsidR="00586338" w:rsidRDefault="00586338">
      <w:pPr>
        <w:contextualSpacing w:val="0"/>
        <w:jc w:val="center"/>
      </w:pPr>
    </w:p>
    <w:p w14:paraId="33C62D59" w14:textId="6DC666AC" w:rsidR="00822C69" w:rsidRDefault="00694F43" w:rsidP="00B2525C">
      <w:pPr>
        <w:contextualSpacing w:val="0"/>
        <w:jc w:val="both"/>
      </w:pPr>
      <w:r>
        <w:t>À</w:t>
      </w:r>
      <w:r w:rsidR="00586338">
        <w:t xml:space="preserve"> </w:t>
      </w:r>
      <w:r>
        <w:t>: Mme Fatou Bom Bensouda, Bureau du Procureur, La Cour Pénale Internationale</w:t>
      </w:r>
    </w:p>
    <w:p w14:paraId="54C679A9" w14:textId="77777777" w:rsidR="00822C69" w:rsidRDefault="00822C69" w:rsidP="00B2525C">
      <w:pPr>
        <w:contextualSpacing w:val="0"/>
        <w:jc w:val="both"/>
      </w:pPr>
    </w:p>
    <w:p w14:paraId="5D36296D" w14:textId="6AF4C6F2" w:rsidR="00822C69" w:rsidRPr="00586338" w:rsidRDefault="00694F43" w:rsidP="00B2525C">
      <w:pPr>
        <w:numPr>
          <w:ilvl w:val="0"/>
          <w:numId w:val="1"/>
        </w:numPr>
        <w:jc w:val="both"/>
        <w:rPr>
          <w:i/>
        </w:rPr>
      </w:pPr>
      <w:r>
        <w:rPr>
          <w:i/>
        </w:rPr>
        <w:t>Ayant à l’esprit</w:t>
      </w:r>
      <w:r>
        <w:t xml:space="preserve"> que “la </w:t>
      </w:r>
      <w:r w:rsidR="00586338">
        <w:t>méconnaissance</w:t>
      </w:r>
      <w:r>
        <w:t xml:space="preserve"> et le </w:t>
      </w:r>
      <w:r w:rsidR="00586338">
        <w:t>mépris</w:t>
      </w:r>
      <w:r>
        <w:t xml:space="preserve"> des droits de l'homme ont conduit à des actes de barbarie qui </w:t>
      </w:r>
      <w:r w:rsidR="00586338">
        <w:t>révoltent</w:t>
      </w:r>
      <w:r>
        <w:t xml:space="preserve"> la conscience de l'</w:t>
      </w:r>
      <w:r w:rsidR="00586338">
        <w:t>humanité</w:t>
      </w:r>
      <w:r>
        <w:t>”,</w:t>
      </w:r>
      <w:r>
        <w:rPr>
          <w:vertAlign w:val="superscript"/>
        </w:rPr>
        <w:footnoteReference w:id="1"/>
      </w:r>
    </w:p>
    <w:p w14:paraId="4B8128D3" w14:textId="77777777" w:rsidR="00586338" w:rsidRDefault="00586338" w:rsidP="00B2525C">
      <w:pPr>
        <w:ind w:left="720"/>
        <w:jc w:val="both"/>
        <w:rPr>
          <w:i/>
        </w:rPr>
      </w:pPr>
    </w:p>
    <w:p w14:paraId="01E01D0F" w14:textId="040400D6" w:rsidR="00822C69" w:rsidRPr="00586338" w:rsidRDefault="00586338" w:rsidP="00B2525C">
      <w:pPr>
        <w:numPr>
          <w:ilvl w:val="0"/>
          <w:numId w:val="1"/>
        </w:numPr>
        <w:jc w:val="both"/>
        <w:rPr>
          <w:i/>
        </w:rPr>
      </w:pPr>
      <w:r>
        <w:rPr>
          <w:i/>
        </w:rPr>
        <w:t>Guidé.e.</w:t>
      </w:r>
      <w:r w:rsidR="00694F43">
        <w:rPr>
          <w:i/>
        </w:rPr>
        <w:t xml:space="preserve"> </w:t>
      </w:r>
      <w:r w:rsidR="00694F43">
        <w:t>par les “principes de Nuremberg”</w:t>
      </w:r>
      <w:r w:rsidR="00694F43">
        <w:rPr>
          <w:vertAlign w:val="superscript"/>
        </w:rPr>
        <w:footnoteReference w:id="2"/>
      </w:r>
      <w:r w:rsidR="00694F43">
        <w:t xml:space="preserve"> et </w:t>
      </w:r>
      <w:r>
        <w:t xml:space="preserve">soulignant à cet égard </w:t>
      </w:r>
      <w:r w:rsidR="00694F43">
        <w:t xml:space="preserve">le principe de responsabilité pénale individuelle </w:t>
      </w:r>
      <w:r>
        <w:t>des</w:t>
      </w:r>
      <w:r w:rsidR="00694F43">
        <w:t xml:space="preserve"> crimes internationaux, </w:t>
      </w:r>
      <w:r>
        <w:t>notamment d</w:t>
      </w:r>
      <w:r w:rsidR="00694F43">
        <w:t xml:space="preserve">es crimes de guerre </w:t>
      </w:r>
      <w:r>
        <w:t>et</w:t>
      </w:r>
      <w:r w:rsidR="00694F43">
        <w:t xml:space="preserve"> </w:t>
      </w:r>
      <w:r w:rsidR="00665471">
        <w:t xml:space="preserve">des </w:t>
      </w:r>
      <w:r w:rsidR="00694F43">
        <w:t>crimes contre l’humanité,</w:t>
      </w:r>
      <w:r w:rsidR="00694F43">
        <w:rPr>
          <w:vertAlign w:val="superscript"/>
        </w:rPr>
        <w:footnoteReference w:id="3"/>
      </w:r>
    </w:p>
    <w:p w14:paraId="108EA1DC" w14:textId="113BFC9B" w:rsidR="00586338" w:rsidRDefault="00586338" w:rsidP="00B2525C">
      <w:pPr>
        <w:ind w:left="720"/>
        <w:jc w:val="both"/>
        <w:rPr>
          <w:i/>
        </w:rPr>
      </w:pPr>
    </w:p>
    <w:p w14:paraId="0DC76F7E" w14:textId="7D42E232" w:rsidR="00822C69" w:rsidRPr="00586338" w:rsidRDefault="00694F43" w:rsidP="00B2525C">
      <w:pPr>
        <w:numPr>
          <w:ilvl w:val="0"/>
          <w:numId w:val="1"/>
        </w:numPr>
        <w:jc w:val="both"/>
        <w:rPr>
          <w:i/>
        </w:rPr>
      </w:pPr>
      <w:r>
        <w:rPr>
          <w:i/>
        </w:rPr>
        <w:t>Affirmant</w:t>
      </w:r>
      <w:r>
        <w:t xml:space="preserve"> que les victimes de violations </w:t>
      </w:r>
      <w:r w:rsidR="00586338">
        <w:t xml:space="preserve">flagrantes </w:t>
      </w:r>
      <w:r w:rsidR="00BA6E20">
        <w:t>du droit international des droits de l’homme</w:t>
      </w:r>
      <w:r>
        <w:t xml:space="preserve"> et de violations </w:t>
      </w:r>
      <w:r w:rsidR="00BA6E20">
        <w:t>graves du droit international humanitaire</w:t>
      </w:r>
      <w:r w:rsidR="00807D8B">
        <w:t xml:space="preserve"> ont droit à un</w:t>
      </w:r>
      <w:r>
        <w:t xml:space="preserve"> recours et à la réparation,</w:t>
      </w:r>
      <w:r>
        <w:rPr>
          <w:vertAlign w:val="superscript"/>
        </w:rPr>
        <w:footnoteReference w:id="4"/>
      </w:r>
    </w:p>
    <w:p w14:paraId="4841D1C0" w14:textId="77777777" w:rsidR="00586338" w:rsidRDefault="00586338" w:rsidP="00B2525C">
      <w:pPr>
        <w:ind w:left="720"/>
        <w:jc w:val="both"/>
        <w:rPr>
          <w:i/>
        </w:rPr>
      </w:pPr>
    </w:p>
    <w:p w14:paraId="370CDA3E" w14:textId="28A0BF73" w:rsidR="00822C69" w:rsidRPr="00586338" w:rsidRDefault="00694F43" w:rsidP="00B2525C">
      <w:pPr>
        <w:numPr>
          <w:ilvl w:val="0"/>
          <w:numId w:val="1"/>
        </w:numPr>
        <w:jc w:val="both"/>
        <w:rPr>
          <w:i/>
        </w:rPr>
      </w:pPr>
      <w:r>
        <w:rPr>
          <w:i/>
        </w:rPr>
        <w:t>Affirmant</w:t>
      </w:r>
      <w:r>
        <w:t xml:space="preserve"> “</w:t>
      </w:r>
      <w:r>
        <w:rPr>
          <w:highlight w:val="white"/>
        </w:rPr>
        <w:t>que les crimes les plus graves qui touchent l'ensemble de la communauté internationale ne sauraient rester impunis et que leur répression doit être effectivement assurée”</w:t>
      </w:r>
      <w:r w:rsidR="00665471">
        <w:rPr>
          <w:highlight w:val="white"/>
        </w:rPr>
        <w:t>,</w:t>
      </w:r>
      <w:r>
        <w:rPr>
          <w:highlight w:val="white"/>
          <w:vertAlign w:val="superscript"/>
        </w:rPr>
        <w:footnoteReference w:id="5"/>
      </w:r>
    </w:p>
    <w:p w14:paraId="667D898E" w14:textId="67A5782B" w:rsidR="00586338" w:rsidRDefault="00586338" w:rsidP="00B2525C">
      <w:pPr>
        <w:ind w:left="720"/>
        <w:jc w:val="both"/>
        <w:rPr>
          <w:i/>
        </w:rPr>
      </w:pPr>
    </w:p>
    <w:p w14:paraId="031D401D" w14:textId="567B4A6D" w:rsidR="00822C69" w:rsidRDefault="00694F43" w:rsidP="00B2525C">
      <w:pPr>
        <w:numPr>
          <w:ilvl w:val="0"/>
          <w:numId w:val="1"/>
        </w:numPr>
        <w:jc w:val="both"/>
        <w:rPr>
          <w:i/>
          <w:highlight w:val="white"/>
        </w:rPr>
      </w:pPr>
      <w:r>
        <w:rPr>
          <w:i/>
          <w:highlight w:val="white"/>
        </w:rPr>
        <w:t>Rappelant</w:t>
      </w:r>
      <w:r w:rsidR="00BA6E20">
        <w:rPr>
          <w:highlight w:val="white"/>
        </w:rPr>
        <w:t xml:space="preserve"> que l’É</w:t>
      </w:r>
      <w:r>
        <w:rPr>
          <w:highlight w:val="white"/>
        </w:rPr>
        <w:t xml:space="preserve">tat d’Israël continue d’occuper illégalement </w:t>
      </w:r>
      <w:r w:rsidR="00BA6E20">
        <w:rPr>
          <w:highlight w:val="white"/>
        </w:rPr>
        <w:t xml:space="preserve">le territoire Palestinien </w:t>
      </w:r>
      <w:r>
        <w:rPr>
          <w:highlight w:val="white"/>
        </w:rPr>
        <w:t>depuis 1967,</w:t>
      </w:r>
      <w:r>
        <w:rPr>
          <w:highlight w:val="white"/>
          <w:vertAlign w:val="superscript"/>
        </w:rPr>
        <w:footnoteReference w:id="6"/>
      </w:r>
      <w:r>
        <w:rPr>
          <w:highlight w:val="white"/>
        </w:rPr>
        <w:t xml:space="preserve"> </w:t>
      </w:r>
      <w:r w:rsidR="00BA6E20">
        <w:rPr>
          <w:highlight w:val="white"/>
        </w:rPr>
        <w:t>soit</w:t>
      </w:r>
      <w:r>
        <w:rPr>
          <w:highlight w:val="white"/>
        </w:rPr>
        <w:t xml:space="preserve"> </w:t>
      </w:r>
      <w:r w:rsidR="009C0AE0">
        <w:rPr>
          <w:highlight w:val="white"/>
        </w:rPr>
        <w:t xml:space="preserve">l’occupation </w:t>
      </w:r>
      <w:r w:rsidR="00807D8B" w:rsidRPr="00B2525C">
        <w:t>belligérante</w:t>
      </w:r>
      <w:r w:rsidR="009C0AE0" w:rsidRPr="00B2525C">
        <w:t xml:space="preserve"> </w:t>
      </w:r>
      <w:r w:rsidR="009C0AE0">
        <w:rPr>
          <w:highlight w:val="white"/>
        </w:rPr>
        <w:t>d’un territoire la plus longue de l’histoire moderne</w:t>
      </w:r>
      <w:r>
        <w:rPr>
          <w:highlight w:val="white"/>
        </w:rPr>
        <w:t xml:space="preserve">, </w:t>
      </w:r>
      <w:r w:rsidR="009C0AE0">
        <w:rPr>
          <w:highlight w:val="white"/>
        </w:rPr>
        <w:t>et</w:t>
      </w:r>
      <w:r>
        <w:rPr>
          <w:highlight w:val="white"/>
        </w:rPr>
        <w:t xml:space="preserve"> </w:t>
      </w:r>
      <w:r w:rsidR="009C0AE0">
        <w:rPr>
          <w:highlight w:val="white"/>
        </w:rPr>
        <w:t>assiège</w:t>
      </w:r>
      <w:r>
        <w:rPr>
          <w:highlight w:val="white"/>
        </w:rPr>
        <w:t xml:space="preserve"> la bande de Gaza </w:t>
      </w:r>
      <w:r w:rsidR="009C0AE0">
        <w:rPr>
          <w:highlight w:val="white"/>
        </w:rPr>
        <w:t>depuis le désengagement des Forces de défense i</w:t>
      </w:r>
      <w:r w:rsidR="00927BC8">
        <w:rPr>
          <w:highlight w:val="white"/>
        </w:rPr>
        <w:t>sraéliennes en 2</w:t>
      </w:r>
      <w:bookmarkStart w:id="0" w:name="_GoBack"/>
      <w:bookmarkEnd w:id="0"/>
      <w:r w:rsidR="00927BC8">
        <w:rPr>
          <w:highlight w:val="white"/>
        </w:rPr>
        <w:t>005,</w:t>
      </w:r>
      <w:r>
        <w:rPr>
          <w:highlight w:val="white"/>
          <w:vertAlign w:val="superscript"/>
        </w:rPr>
        <w:footnoteReference w:id="7"/>
      </w:r>
    </w:p>
    <w:p w14:paraId="143145DF" w14:textId="3412A951" w:rsidR="00822C69" w:rsidRPr="00665471" w:rsidRDefault="00694F43" w:rsidP="00B2525C">
      <w:pPr>
        <w:numPr>
          <w:ilvl w:val="0"/>
          <w:numId w:val="1"/>
        </w:numPr>
        <w:jc w:val="both"/>
        <w:rPr>
          <w:i/>
          <w:highlight w:val="white"/>
        </w:rPr>
      </w:pPr>
      <w:r>
        <w:rPr>
          <w:i/>
          <w:highlight w:val="white"/>
        </w:rPr>
        <w:lastRenderedPageBreak/>
        <w:t xml:space="preserve">Dénonçant </w:t>
      </w:r>
      <w:r>
        <w:rPr>
          <w:highlight w:val="white"/>
        </w:rPr>
        <w:t>les atrocités qui ont été et co</w:t>
      </w:r>
      <w:r w:rsidR="00665471">
        <w:rPr>
          <w:highlight w:val="white"/>
        </w:rPr>
        <w:t>ntinuent d’être commises par l’État d’Israël contre les civils palestiniens, lesquelles défient l’imagination et heurtent profondément la conscience humaine,</w:t>
      </w:r>
    </w:p>
    <w:p w14:paraId="55239058" w14:textId="77777777" w:rsidR="00665471" w:rsidRDefault="00665471" w:rsidP="00B2525C">
      <w:pPr>
        <w:jc w:val="both"/>
        <w:rPr>
          <w:i/>
          <w:highlight w:val="white"/>
        </w:rPr>
      </w:pPr>
    </w:p>
    <w:p w14:paraId="41522B5E" w14:textId="6BA617AA" w:rsidR="00822C69" w:rsidRDefault="00694F43" w:rsidP="00B2525C">
      <w:pPr>
        <w:numPr>
          <w:ilvl w:val="0"/>
          <w:numId w:val="1"/>
        </w:numPr>
        <w:jc w:val="both"/>
        <w:rPr>
          <w:highlight w:val="white"/>
        </w:rPr>
      </w:pPr>
      <w:r>
        <w:rPr>
          <w:i/>
          <w:highlight w:val="white"/>
        </w:rPr>
        <w:t xml:space="preserve">Rappelant </w:t>
      </w:r>
      <w:r w:rsidR="00665471">
        <w:rPr>
          <w:highlight w:val="white"/>
        </w:rPr>
        <w:t xml:space="preserve">les </w:t>
      </w:r>
      <w:r w:rsidR="00F845E4">
        <w:rPr>
          <w:highlight w:val="white"/>
        </w:rPr>
        <w:t>multiples</w:t>
      </w:r>
      <w:r w:rsidR="00665471">
        <w:rPr>
          <w:highlight w:val="white"/>
        </w:rPr>
        <w:t xml:space="preserve"> résolutions adoptées par l’Assemblée g</w:t>
      </w:r>
      <w:r>
        <w:rPr>
          <w:highlight w:val="white"/>
        </w:rPr>
        <w:t>énérale de</w:t>
      </w:r>
      <w:r w:rsidR="00665471">
        <w:rPr>
          <w:highlight w:val="white"/>
        </w:rPr>
        <w:t>s Nations Unies, le Conseil de sécurité des Nations u</w:t>
      </w:r>
      <w:r>
        <w:rPr>
          <w:highlight w:val="white"/>
        </w:rPr>
        <w:t>nies et le Conseil des</w:t>
      </w:r>
      <w:r w:rsidR="00665471">
        <w:rPr>
          <w:highlight w:val="white"/>
        </w:rPr>
        <w:t xml:space="preserve"> droits de l’homme des Nations unies dénonçant </w:t>
      </w:r>
      <w:r>
        <w:rPr>
          <w:highlight w:val="white"/>
        </w:rPr>
        <w:t xml:space="preserve">ces violations </w:t>
      </w:r>
      <w:r w:rsidR="00725263">
        <w:rPr>
          <w:highlight w:val="white"/>
        </w:rPr>
        <w:t>perpétrées</w:t>
      </w:r>
      <w:r>
        <w:rPr>
          <w:highlight w:val="white"/>
        </w:rPr>
        <w:t xml:space="preserve"> </w:t>
      </w:r>
      <w:r w:rsidR="00725263">
        <w:rPr>
          <w:highlight w:val="white"/>
        </w:rPr>
        <w:t>par l’É</w:t>
      </w:r>
      <w:r>
        <w:rPr>
          <w:highlight w:val="white"/>
        </w:rPr>
        <w:t>tat d’Israël,</w:t>
      </w:r>
      <w:r>
        <w:rPr>
          <w:highlight w:val="white"/>
          <w:vertAlign w:val="superscript"/>
        </w:rPr>
        <w:footnoteReference w:id="8"/>
      </w:r>
    </w:p>
    <w:p w14:paraId="2F12247B" w14:textId="4B40690E" w:rsidR="00665471" w:rsidRDefault="00665471" w:rsidP="00B2525C">
      <w:pPr>
        <w:jc w:val="both"/>
        <w:rPr>
          <w:highlight w:val="white"/>
        </w:rPr>
      </w:pPr>
    </w:p>
    <w:p w14:paraId="08569E34" w14:textId="5B61C90D" w:rsidR="00822C69" w:rsidRPr="00665471" w:rsidRDefault="00694F43" w:rsidP="00B2525C">
      <w:pPr>
        <w:numPr>
          <w:ilvl w:val="0"/>
          <w:numId w:val="1"/>
        </w:numPr>
        <w:jc w:val="both"/>
        <w:rPr>
          <w:i/>
          <w:highlight w:val="white"/>
        </w:rPr>
      </w:pPr>
      <w:r>
        <w:rPr>
          <w:i/>
          <w:highlight w:val="white"/>
        </w:rPr>
        <w:t>Rappelant</w:t>
      </w:r>
      <w:r>
        <w:rPr>
          <w:highlight w:val="white"/>
        </w:rPr>
        <w:t xml:space="preserve"> en </w:t>
      </w:r>
      <w:r w:rsidR="00725263">
        <w:rPr>
          <w:highlight w:val="white"/>
        </w:rPr>
        <w:t>outre</w:t>
      </w:r>
      <w:r>
        <w:rPr>
          <w:highlight w:val="white"/>
        </w:rPr>
        <w:t xml:space="preserve"> q</w:t>
      </w:r>
      <w:r w:rsidR="00F845E4">
        <w:rPr>
          <w:highlight w:val="white"/>
        </w:rPr>
        <w:t xml:space="preserve">ue, malgré de nombreux rapports soumis au Bureau du Procureur par des </w:t>
      </w:r>
      <w:r w:rsidR="00725263">
        <w:rPr>
          <w:highlight w:val="white"/>
        </w:rPr>
        <w:t>ONG</w:t>
      </w:r>
      <w:r w:rsidR="00F845E4">
        <w:rPr>
          <w:highlight w:val="white"/>
        </w:rPr>
        <w:t>s</w:t>
      </w:r>
      <w:r w:rsidR="00725263">
        <w:rPr>
          <w:highlight w:val="white"/>
        </w:rPr>
        <w:t xml:space="preserve"> internationales et p</w:t>
      </w:r>
      <w:r>
        <w:rPr>
          <w:highlight w:val="white"/>
        </w:rPr>
        <w:t xml:space="preserve">alestiniennes, </w:t>
      </w:r>
      <w:r w:rsidR="00F845E4">
        <w:rPr>
          <w:highlight w:val="white"/>
        </w:rPr>
        <w:t>ces</w:t>
      </w:r>
      <w:r>
        <w:rPr>
          <w:highlight w:val="white"/>
        </w:rPr>
        <w:t xml:space="preserve"> crimes de guerre et crimes contre l’humanité </w:t>
      </w:r>
      <w:r w:rsidR="00F845E4">
        <w:rPr>
          <w:highlight w:val="white"/>
        </w:rPr>
        <w:t>n’ont pas cessé</w:t>
      </w:r>
      <w:r>
        <w:rPr>
          <w:highlight w:val="white"/>
        </w:rPr>
        <w:t xml:space="preserve"> et </w:t>
      </w:r>
      <w:r w:rsidR="00F845E4">
        <w:rPr>
          <w:highlight w:val="white"/>
        </w:rPr>
        <w:t xml:space="preserve">se sont aggravés au cours de </w:t>
      </w:r>
      <w:r>
        <w:rPr>
          <w:highlight w:val="white"/>
        </w:rPr>
        <w:t xml:space="preserve">la </w:t>
      </w:r>
      <w:r w:rsidR="00F845E4">
        <w:rPr>
          <w:highlight w:val="white"/>
        </w:rPr>
        <w:t>phase</w:t>
      </w:r>
      <w:r>
        <w:rPr>
          <w:highlight w:val="white"/>
        </w:rPr>
        <w:t xml:space="preserve"> d’examen préliminaire conduit par le Bureau, </w:t>
      </w:r>
      <w:r>
        <w:rPr>
          <w:highlight w:val="white"/>
          <w:vertAlign w:val="superscript"/>
        </w:rPr>
        <w:footnoteReference w:id="9"/>
      </w:r>
    </w:p>
    <w:p w14:paraId="24173473" w14:textId="2CB58323" w:rsidR="00665471" w:rsidRDefault="00665471" w:rsidP="00B2525C">
      <w:pPr>
        <w:jc w:val="both"/>
        <w:rPr>
          <w:i/>
          <w:highlight w:val="white"/>
        </w:rPr>
      </w:pPr>
    </w:p>
    <w:p w14:paraId="6E5DFBEC" w14:textId="182E93FA" w:rsidR="00F845E4" w:rsidRPr="00F845E4" w:rsidRDefault="00694F43" w:rsidP="00B2525C">
      <w:pPr>
        <w:numPr>
          <w:ilvl w:val="0"/>
          <w:numId w:val="1"/>
        </w:numPr>
        <w:jc w:val="both"/>
        <w:rPr>
          <w:i/>
          <w:highlight w:val="white"/>
        </w:rPr>
      </w:pPr>
      <w:r>
        <w:rPr>
          <w:i/>
          <w:highlight w:val="white"/>
        </w:rPr>
        <w:t>Dénonçant</w:t>
      </w:r>
      <w:r w:rsidR="00F845E4">
        <w:rPr>
          <w:highlight w:val="white"/>
        </w:rPr>
        <w:t xml:space="preserve"> l’échec et le refus de l’État d’Israël de</w:t>
      </w:r>
      <w:r>
        <w:rPr>
          <w:highlight w:val="white"/>
        </w:rPr>
        <w:t xml:space="preserve"> tenir</w:t>
      </w:r>
      <w:r w:rsidR="00F845E4">
        <w:rPr>
          <w:highlight w:val="white"/>
        </w:rPr>
        <w:t xml:space="preserve"> pour responsables les personnes suspectées d’avoir commis des crimes contre des civils palestiniens</w:t>
      </w:r>
      <w:r w:rsidR="004A5E31">
        <w:rPr>
          <w:highlight w:val="white"/>
        </w:rPr>
        <w:t xml:space="preserve">, au détriment de l’État de droit et au profit d’une impunité généralisée des autorités israéliennes ayant autorisé et des individus ayant perpétrés ces crimes. Une telle impunité contribue à </w:t>
      </w:r>
      <w:r w:rsidR="00581E8F">
        <w:rPr>
          <w:highlight w:val="white"/>
        </w:rPr>
        <w:t xml:space="preserve">la persistance, l’intensification et la récurrence de tels crimes, </w:t>
      </w:r>
      <w:r w:rsidR="00581E8F">
        <w:rPr>
          <w:highlight w:val="white"/>
          <w:vertAlign w:val="superscript"/>
        </w:rPr>
        <w:footnoteReference w:id="10"/>
      </w:r>
    </w:p>
    <w:p w14:paraId="78FCE224" w14:textId="7054E5E2" w:rsidR="00665471" w:rsidRPr="00581E8F" w:rsidRDefault="00665471" w:rsidP="00B2525C">
      <w:pPr>
        <w:ind w:left="720"/>
        <w:jc w:val="both"/>
        <w:rPr>
          <w:i/>
          <w:highlight w:val="white"/>
        </w:rPr>
      </w:pPr>
    </w:p>
    <w:p w14:paraId="5AF49252" w14:textId="7CA74FF4" w:rsidR="00822C69" w:rsidRPr="009D7D2A" w:rsidRDefault="00694F43" w:rsidP="00B2525C">
      <w:pPr>
        <w:numPr>
          <w:ilvl w:val="0"/>
          <w:numId w:val="1"/>
        </w:numPr>
        <w:jc w:val="both"/>
        <w:rPr>
          <w:i/>
        </w:rPr>
      </w:pPr>
      <w:r w:rsidRPr="009D7D2A">
        <w:rPr>
          <w:i/>
        </w:rPr>
        <w:t xml:space="preserve">Rappelant </w:t>
      </w:r>
      <w:r w:rsidRPr="009D7D2A">
        <w:t xml:space="preserve">l’adhésion de la Palestine au Statut de Rome et </w:t>
      </w:r>
      <w:r w:rsidR="00581E8F" w:rsidRPr="009D7D2A">
        <w:t xml:space="preserve">son acceptation de la compétence </w:t>
      </w:r>
      <w:r w:rsidRPr="009D7D2A">
        <w:t xml:space="preserve">de la CPI </w:t>
      </w:r>
      <w:r w:rsidR="00581E8F" w:rsidRPr="009D7D2A">
        <w:t>à juger des</w:t>
      </w:r>
      <w:r w:rsidRPr="009D7D2A">
        <w:t xml:space="preserve"> cri</w:t>
      </w:r>
      <w:r w:rsidR="00B22368" w:rsidRPr="009D7D2A">
        <w:t>mes commis sur les territoires palestiniens o</w:t>
      </w:r>
      <w:r w:rsidRPr="009D7D2A">
        <w:t>ccupés depuis le 13 Juin 2014,</w:t>
      </w:r>
      <w:r w:rsidRPr="009D7D2A">
        <w:rPr>
          <w:vertAlign w:val="superscript"/>
        </w:rPr>
        <w:footnoteReference w:id="11"/>
      </w:r>
      <w:r w:rsidRPr="009D7D2A">
        <w:t xml:space="preserve"> suivant sa reconnaissance en tant qu’État par la communauté internationale,</w:t>
      </w:r>
      <w:r w:rsidRPr="009D7D2A">
        <w:rPr>
          <w:vertAlign w:val="superscript"/>
        </w:rPr>
        <w:footnoteReference w:id="12"/>
      </w:r>
    </w:p>
    <w:p w14:paraId="4DD18F4D" w14:textId="136E9462" w:rsidR="00665471" w:rsidRDefault="00665471" w:rsidP="00B2525C">
      <w:pPr>
        <w:jc w:val="both"/>
        <w:rPr>
          <w:i/>
          <w:highlight w:val="white"/>
        </w:rPr>
      </w:pPr>
    </w:p>
    <w:p w14:paraId="739E47B3" w14:textId="0CEBA964" w:rsidR="00822C69" w:rsidRPr="00665471" w:rsidRDefault="00694F43" w:rsidP="00B2525C">
      <w:pPr>
        <w:numPr>
          <w:ilvl w:val="0"/>
          <w:numId w:val="1"/>
        </w:numPr>
        <w:jc w:val="both"/>
        <w:rPr>
          <w:i/>
          <w:highlight w:val="white"/>
        </w:rPr>
      </w:pPr>
      <w:r>
        <w:rPr>
          <w:i/>
          <w:highlight w:val="white"/>
        </w:rPr>
        <w:t>Rappelant</w:t>
      </w:r>
      <w:r w:rsidR="009D7D2A">
        <w:rPr>
          <w:highlight w:val="white"/>
        </w:rPr>
        <w:t xml:space="preserve"> l’ouverture d’un examen </w:t>
      </w:r>
      <w:r>
        <w:rPr>
          <w:highlight w:val="white"/>
        </w:rPr>
        <w:t>préliminaire sur la situation en Palestine par le Bureau du Procureur le 16 Janvier 2015,</w:t>
      </w:r>
      <w:r>
        <w:rPr>
          <w:highlight w:val="white"/>
          <w:vertAlign w:val="superscript"/>
        </w:rPr>
        <w:footnoteReference w:id="13"/>
      </w:r>
      <w:r>
        <w:rPr>
          <w:highlight w:val="white"/>
        </w:rPr>
        <w:t xml:space="preserve"> et les p</w:t>
      </w:r>
      <w:r w:rsidR="009D7D2A">
        <w:rPr>
          <w:highlight w:val="white"/>
        </w:rPr>
        <w:t>reuves accablantes “d</w:t>
      </w:r>
      <w:r>
        <w:rPr>
          <w:highlight w:val="white"/>
        </w:rPr>
        <w:t xml:space="preserve">es crimes passés, présents et futurs commis </w:t>
      </w:r>
      <w:r w:rsidR="009D7D2A">
        <w:rPr>
          <w:highlight w:val="white"/>
        </w:rPr>
        <w:t>sur l’ensemble du territoire de l’État palestinien relevant de la compétence de la Cour</w:t>
      </w:r>
      <w:r>
        <w:rPr>
          <w:highlight w:val="white"/>
        </w:rPr>
        <w:t xml:space="preserve">” fournies </w:t>
      </w:r>
      <w:r w:rsidR="009D7D2A">
        <w:rPr>
          <w:highlight w:val="white"/>
        </w:rPr>
        <w:t>par des ONG internationales et p</w:t>
      </w:r>
      <w:r>
        <w:rPr>
          <w:highlight w:val="white"/>
        </w:rPr>
        <w:t>alestiniennes,</w:t>
      </w:r>
      <w:r>
        <w:rPr>
          <w:highlight w:val="white"/>
          <w:vertAlign w:val="superscript"/>
        </w:rPr>
        <w:footnoteReference w:id="14"/>
      </w:r>
    </w:p>
    <w:p w14:paraId="577FE847" w14:textId="2CBC3DD0" w:rsidR="00665471" w:rsidRDefault="00665471" w:rsidP="00B2525C">
      <w:pPr>
        <w:jc w:val="both"/>
        <w:rPr>
          <w:i/>
          <w:highlight w:val="white"/>
        </w:rPr>
      </w:pPr>
    </w:p>
    <w:p w14:paraId="1A319E28" w14:textId="27A61D84" w:rsidR="00822C69" w:rsidRDefault="00694F43" w:rsidP="00B2525C">
      <w:pPr>
        <w:numPr>
          <w:ilvl w:val="0"/>
          <w:numId w:val="1"/>
        </w:numPr>
        <w:jc w:val="both"/>
        <w:rPr>
          <w:highlight w:val="white"/>
        </w:rPr>
      </w:pPr>
      <w:r>
        <w:rPr>
          <w:i/>
          <w:highlight w:val="white"/>
        </w:rPr>
        <w:t>Rappelant</w:t>
      </w:r>
      <w:r>
        <w:rPr>
          <w:highlight w:val="white"/>
        </w:rPr>
        <w:t xml:space="preserve"> que la CPI est tenue </w:t>
      </w:r>
      <w:r w:rsidR="009D7D2A">
        <w:rPr>
          <w:highlight w:val="white"/>
        </w:rPr>
        <w:t>d’engager des poursuites</w:t>
      </w:r>
      <w:r>
        <w:rPr>
          <w:highlight w:val="white"/>
        </w:rPr>
        <w:t xml:space="preserve"> </w:t>
      </w:r>
      <w:r w:rsidR="009D7D2A">
        <w:rPr>
          <w:highlight w:val="white"/>
        </w:rPr>
        <w:t>effectives</w:t>
      </w:r>
      <w:r w:rsidR="00106DCC">
        <w:rPr>
          <w:highlight w:val="white"/>
        </w:rPr>
        <w:t>, d’appliquer et d’interpréter</w:t>
      </w:r>
      <w:r>
        <w:rPr>
          <w:highlight w:val="white"/>
        </w:rPr>
        <w:t xml:space="preserve"> le droit </w:t>
      </w:r>
      <w:r w:rsidR="00106DCC">
        <w:rPr>
          <w:highlight w:val="white"/>
        </w:rPr>
        <w:t xml:space="preserve">de manière </w:t>
      </w:r>
      <w:r w:rsidR="00106DCC">
        <w:rPr>
          <w:highlight w:val="white"/>
        </w:rPr>
        <w:t>“</w:t>
      </w:r>
      <w:r>
        <w:rPr>
          <w:highlight w:val="white"/>
        </w:rPr>
        <w:t>compatible avec les droits de l’homme internationalement reconnus”,</w:t>
      </w:r>
      <w:r>
        <w:rPr>
          <w:highlight w:val="white"/>
          <w:vertAlign w:val="superscript"/>
        </w:rPr>
        <w:footnoteReference w:id="15"/>
      </w:r>
      <w:r>
        <w:rPr>
          <w:highlight w:val="white"/>
        </w:rPr>
        <w:t xml:space="preserve"> et </w:t>
      </w:r>
      <w:r w:rsidR="00106DCC">
        <w:rPr>
          <w:highlight w:val="white"/>
        </w:rPr>
        <w:t>à cet égard</w:t>
      </w:r>
      <w:r>
        <w:rPr>
          <w:highlight w:val="white"/>
        </w:rPr>
        <w:t xml:space="preserve">, </w:t>
      </w:r>
      <w:r w:rsidR="00B2525C">
        <w:rPr>
          <w:highlight w:val="white"/>
        </w:rPr>
        <w:t>réaffirmant le droit des victimes palestiniennes à une enquête immédiate,</w:t>
      </w:r>
      <w:r>
        <w:rPr>
          <w:highlight w:val="white"/>
          <w:vertAlign w:val="superscript"/>
        </w:rPr>
        <w:footnoteReference w:id="16"/>
      </w:r>
      <w:r>
        <w:rPr>
          <w:highlight w:val="white"/>
        </w:rPr>
        <w:t xml:space="preserve"> incluant non seulement </w:t>
      </w:r>
      <w:r w:rsidR="00B2525C">
        <w:rPr>
          <w:highlight w:val="white"/>
        </w:rPr>
        <w:t>un examen</w:t>
      </w:r>
      <w:r>
        <w:rPr>
          <w:highlight w:val="white"/>
        </w:rPr>
        <w:t xml:space="preserve"> </w:t>
      </w:r>
      <w:r>
        <w:rPr>
          <w:highlight w:val="white"/>
        </w:rPr>
        <w:lastRenderedPageBreak/>
        <w:t>prélim</w:t>
      </w:r>
      <w:r w:rsidR="00927BC8">
        <w:rPr>
          <w:highlight w:val="white"/>
        </w:rPr>
        <w:t>inaire du Bureau mais également</w:t>
      </w:r>
      <w:r>
        <w:rPr>
          <w:highlight w:val="white"/>
        </w:rPr>
        <w:t xml:space="preserve"> une enquête approfondie et, le cas échéant, </w:t>
      </w:r>
      <w:r w:rsidR="00B2525C">
        <w:rPr>
          <w:highlight w:val="white"/>
        </w:rPr>
        <w:t>l’engagement de poursuite</w:t>
      </w:r>
      <w:r w:rsidR="00D348BC">
        <w:rPr>
          <w:highlight w:val="white"/>
        </w:rPr>
        <w:t>s</w:t>
      </w:r>
      <w:r w:rsidR="00B2525C">
        <w:rPr>
          <w:highlight w:val="white"/>
        </w:rPr>
        <w:t>,</w:t>
      </w:r>
    </w:p>
    <w:p w14:paraId="4F7C3A5C" w14:textId="4B85B1B4" w:rsidR="00665471" w:rsidRDefault="00665471" w:rsidP="00665471">
      <w:pPr>
        <w:rPr>
          <w:highlight w:val="white"/>
        </w:rPr>
      </w:pPr>
    </w:p>
    <w:p w14:paraId="588B9893" w14:textId="009BB2AB" w:rsidR="00D348BC" w:rsidRPr="00D348BC" w:rsidRDefault="00694F43" w:rsidP="00B2525C">
      <w:pPr>
        <w:numPr>
          <w:ilvl w:val="0"/>
          <w:numId w:val="1"/>
        </w:numPr>
        <w:jc w:val="both"/>
        <w:rPr>
          <w:i/>
          <w:highlight w:val="white"/>
        </w:rPr>
      </w:pPr>
      <w:r>
        <w:rPr>
          <w:i/>
          <w:highlight w:val="white"/>
        </w:rPr>
        <w:t>Je Déclare</w:t>
      </w:r>
      <w:r>
        <w:rPr>
          <w:highlight w:val="white"/>
        </w:rPr>
        <w:t xml:space="preserve"> </w:t>
      </w:r>
      <w:r w:rsidR="00D348BC">
        <w:rPr>
          <w:highlight w:val="white"/>
        </w:rPr>
        <w:t>que justice différée est justice refusée</w:t>
      </w:r>
      <w:r>
        <w:rPr>
          <w:highlight w:val="white"/>
        </w:rPr>
        <w:t xml:space="preserve">, et </w:t>
      </w:r>
      <w:r>
        <w:rPr>
          <w:i/>
          <w:highlight w:val="white"/>
        </w:rPr>
        <w:t>Exige</w:t>
      </w:r>
      <w:r>
        <w:rPr>
          <w:highlight w:val="white"/>
        </w:rPr>
        <w:t xml:space="preserve"> que le Bureau du Procureur </w:t>
      </w:r>
      <w:r w:rsidR="00D348BC">
        <w:rPr>
          <w:highlight w:val="white"/>
        </w:rPr>
        <w:t xml:space="preserve">ouvre immédiatement </w:t>
      </w:r>
      <w:r>
        <w:rPr>
          <w:highlight w:val="white"/>
        </w:rPr>
        <w:t>un</w:t>
      </w:r>
      <w:r w:rsidR="00D348BC">
        <w:rPr>
          <w:highlight w:val="white"/>
        </w:rPr>
        <w:t>e</w:t>
      </w:r>
      <w:r>
        <w:rPr>
          <w:highlight w:val="white"/>
        </w:rPr>
        <w:t xml:space="preserve"> enquête </w:t>
      </w:r>
      <w:r w:rsidR="004C2D54">
        <w:rPr>
          <w:highlight w:val="white"/>
        </w:rPr>
        <w:t>et renvoie l’affaire à la Cour pénale internationale aux fins de poursuites</w:t>
      </w:r>
      <w:r w:rsidR="00D348BC">
        <w:rPr>
          <w:highlight w:val="white"/>
        </w:rPr>
        <w:t xml:space="preserve"> de ces violations flagrantes du droit international des droits de l’homme et de ces violations graves du droit international humanitaire commises par des personnes agissant ou prétendant agir au nom de l’État d’Isra</w:t>
      </w:r>
      <w:r w:rsidR="00807D8B">
        <w:rPr>
          <w:highlight w:val="white"/>
        </w:rPr>
        <w:t xml:space="preserve">ël, qui ont eu lieu, </w:t>
      </w:r>
      <w:r w:rsidR="00D348BC">
        <w:rPr>
          <w:highlight w:val="white"/>
        </w:rPr>
        <w:t>continuent d’avoir lieu</w:t>
      </w:r>
      <w:r w:rsidR="004C2D54">
        <w:rPr>
          <w:highlight w:val="white"/>
        </w:rPr>
        <w:t xml:space="preserve"> et relèvent de la compétence de la Cour.</w:t>
      </w:r>
    </w:p>
    <w:p w14:paraId="24A4EE7C" w14:textId="0DCE0CCC" w:rsidR="00822C69" w:rsidRDefault="00822C69" w:rsidP="00B2525C">
      <w:pPr>
        <w:contextualSpacing w:val="0"/>
        <w:jc w:val="both"/>
        <w:rPr>
          <w:highlight w:val="white"/>
        </w:rPr>
      </w:pPr>
    </w:p>
    <w:p w14:paraId="665DC2A4" w14:textId="3A2CEF44" w:rsidR="00822C69" w:rsidRDefault="00694F43" w:rsidP="00B2525C">
      <w:pPr>
        <w:contextualSpacing w:val="0"/>
        <w:jc w:val="both"/>
        <w:rPr>
          <w:b/>
          <w:highlight w:val="white"/>
        </w:rPr>
      </w:pPr>
      <w:r>
        <w:rPr>
          <w:b/>
          <w:highlight w:val="white"/>
        </w:rPr>
        <w:t xml:space="preserve">Veuillez </w:t>
      </w:r>
      <w:r w:rsidR="004C2D54">
        <w:rPr>
          <w:b/>
          <w:highlight w:val="white"/>
        </w:rPr>
        <w:t>lire attentivement</w:t>
      </w:r>
      <w:r>
        <w:rPr>
          <w:b/>
          <w:highlight w:val="white"/>
        </w:rPr>
        <w:t xml:space="preserve"> </w:t>
      </w:r>
      <w:r w:rsidR="004C2D54">
        <w:rPr>
          <w:b/>
          <w:highlight w:val="white"/>
        </w:rPr>
        <w:t>les</w:t>
      </w:r>
      <w:r>
        <w:rPr>
          <w:b/>
          <w:highlight w:val="white"/>
        </w:rPr>
        <w:t xml:space="preserve"> cases ci-dessous (si vous ne consentez pas à ce que </w:t>
      </w:r>
      <w:r w:rsidR="004C2D54">
        <w:rPr>
          <w:b/>
          <w:highlight w:val="white"/>
        </w:rPr>
        <w:t>vos nom(s) et prénom(s) soient partagés</w:t>
      </w:r>
      <w:r>
        <w:rPr>
          <w:b/>
          <w:highlight w:val="white"/>
        </w:rPr>
        <w:t>, ne cochez aucune des</w:t>
      </w:r>
      <w:r w:rsidR="004C2D54">
        <w:rPr>
          <w:b/>
          <w:highlight w:val="white"/>
        </w:rPr>
        <w:t xml:space="preserve"> deux</w:t>
      </w:r>
      <w:r>
        <w:rPr>
          <w:b/>
          <w:highlight w:val="white"/>
        </w:rPr>
        <w:t xml:space="preserve"> cases)</w:t>
      </w:r>
      <w:r w:rsidR="004C2D54">
        <w:rPr>
          <w:b/>
          <w:highlight w:val="white"/>
        </w:rPr>
        <w:t xml:space="preserve"> </w:t>
      </w:r>
      <w:r>
        <w:rPr>
          <w:b/>
          <w:highlight w:val="white"/>
        </w:rPr>
        <w:t>:</w:t>
      </w:r>
    </w:p>
    <w:p w14:paraId="3601053D" w14:textId="77777777" w:rsidR="00822C69" w:rsidRDefault="00822C69" w:rsidP="00B2525C">
      <w:pPr>
        <w:contextualSpacing w:val="0"/>
        <w:jc w:val="both"/>
        <w:rPr>
          <w:b/>
          <w:highlight w:val="white"/>
        </w:rPr>
      </w:pPr>
    </w:p>
    <w:p w14:paraId="6032D212" w14:textId="7302F111" w:rsidR="00822C69" w:rsidRDefault="00694F43" w:rsidP="00B2525C">
      <w:pPr>
        <w:contextualSpacing w:val="0"/>
        <w:jc w:val="both"/>
        <w:rPr>
          <w:b/>
          <w:highlight w:val="white"/>
        </w:rPr>
      </w:pPr>
      <w:r>
        <w:rPr>
          <w:b/>
          <w:highlight w:val="white"/>
        </w:rPr>
        <w:t xml:space="preserve">Je </w:t>
      </w:r>
      <w:r w:rsidR="004C2D54">
        <w:rPr>
          <w:b/>
          <w:highlight w:val="white"/>
        </w:rPr>
        <w:t>consens à ce que mes nom(s) et prénom(s) apparaissent</w:t>
      </w:r>
      <w:r>
        <w:rPr>
          <w:b/>
          <w:highlight w:val="white"/>
        </w:rPr>
        <w:t xml:space="preserve"> </w:t>
      </w:r>
      <w:r w:rsidR="004C2D54">
        <w:rPr>
          <w:b/>
          <w:highlight w:val="white"/>
        </w:rPr>
        <w:t>sur</w:t>
      </w:r>
      <w:r>
        <w:rPr>
          <w:b/>
          <w:highlight w:val="white"/>
        </w:rPr>
        <w:t xml:space="preserve"> la liste de</w:t>
      </w:r>
      <w:r w:rsidR="004C2D54">
        <w:rPr>
          <w:b/>
          <w:highlight w:val="white"/>
        </w:rPr>
        <w:t>s</w:t>
      </w:r>
      <w:r>
        <w:rPr>
          <w:b/>
          <w:highlight w:val="white"/>
        </w:rPr>
        <w:t xml:space="preserve"> signataires </w:t>
      </w:r>
      <w:r w:rsidR="004C2D54">
        <w:rPr>
          <w:b/>
          <w:highlight w:val="white"/>
        </w:rPr>
        <w:t xml:space="preserve">qui sera </w:t>
      </w:r>
      <w:r>
        <w:rPr>
          <w:b/>
          <w:highlight w:val="white"/>
        </w:rPr>
        <w:t>com</w:t>
      </w:r>
      <w:r w:rsidR="004C2D54">
        <w:rPr>
          <w:b/>
          <w:highlight w:val="white"/>
        </w:rPr>
        <w:t>muniquée au Procureur de la Cour pénale internationale</w:t>
      </w:r>
    </w:p>
    <w:p w14:paraId="18B1DF5F" w14:textId="77777777" w:rsidR="00822C69" w:rsidRDefault="00822C69" w:rsidP="00B2525C">
      <w:pPr>
        <w:contextualSpacing w:val="0"/>
        <w:jc w:val="both"/>
        <w:rPr>
          <w:b/>
          <w:highlight w:val="white"/>
        </w:rPr>
      </w:pPr>
    </w:p>
    <w:p w14:paraId="7AD30963" w14:textId="044C2B8A" w:rsidR="00822C69" w:rsidRDefault="00694F43" w:rsidP="00B2525C">
      <w:pPr>
        <w:contextualSpacing w:val="0"/>
        <w:jc w:val="both"/>
        <w:rPr>
          <w:b/>
          <w:highlight w:val="white"/>
        </w:rPr>
      </w:pPr>
      <w:r>
        <w:rPr>
          <w:b/>
          <w:highlight w:val="white"/>
        </w:rPr>
        <w:t xml:space="preserve">Je </w:t>
      </w:r>
      <w:r w:rsidR="004C2D54">
        <w:rPr>
          <w:b/>
          <w:highlight w:val="white"/>
        </w:rPr>
        <w:t>consens à ce que mes nom(s) et prénom(s) apparaissent sur la liste des signataires qui sera publiée sur le site internet de l’Association Internationale des Juristes Démocrates (</w:t>
      </w:r>
      <w:r w:rsidR="004C2D54" w:rsidRPr="004C2D54">
        <w:rPr>
          <w:b/>
        </w:rPr>
        <w:t>http://iadllaw.org/</w:t>
      </w:r>
      <w:r w:rsidR="004C2D54">
        <w:rPr>
          <w:b/>
        </w:rPr>
        <w:t>)</w:t>
      </w:r>
    </w:p>
    <w:p w14:paraId="0D1C1EEB" w14:textId="77777777" w:rsidR="00822C69" w:rsidRDefault="00822C69" w:rsidP="00B2525C">
      <w:pPr>
        <w:contextualSpacing w:val="0"/>
        <w:jc w:val="both"/>
        <w:rPr>
          <w:b/>
          <w:highlight w:val="white"/>
        </w:rPr>
      </w:pPr>
    </w:p>
    <w:p w14:paraId="0ADACBE8" w14:textId="478CD188" w:rsidR="00822C69" w:rsidRDefault="004C2D54" w:rsidP="00B2525C">
      <w:pPr>
        <w:contextualSpacing w:val="0"/>
        <w:jc w:val="both"/>
        <w:rPr>
          <w:highlight w:val="white"/>
        </w:rPr>
      </w:pPr>
      <w:r>
        <w:rPr>
          <w:highlight w:val="white"/>
        </w:rPr>
        <w:t xml:space="preserve">PRÉNOM, NOM : </w:t>
      </w:r>
    </w:p>
    <w:p w14:paraId="04F18F0D" w14:textId="3B7AF1C3" w:rsidR="004C2D54" w:rsidRDefault="004C2D54" w:rsidP="00B2525C">
      <w:pPr>
        <w:contextualSpacing w:val="0"/>
        <w:jc w:val="both"/>
        <w:rPr>
          <w:highlight w:val="white"/>
        </w:rPr>
      </w:pPr>
    </w:p>
    <w:p w14:paraId="05FC230E" w14:textId="08D752B6" w:rsidR="004C2D54" w:rsidRDefault="004C2D54" w:rsidP="00B2525C">
      <w:pPr>
        <w:contextualSpacing w:val="0"/>
        <w:jc w:val="both"/>
        <w:rPr>
          <w:highlight w:val="white"/>
        </w:rPr>
      </w:pPr>
      <w:r>
        <w:rPr>
          <w:highlight w:val="white"/>
        </w:rPr>
        <w:t xml:space="preserve">PROFESSION : </w:t>
      </w:r>
    </w:p>
    <w:p w14:paraId="06CD2F0B" w14:textId="77777777" w:rsidR="00822C69" w:rsidRDefault="00822C69" w:rsidP="00B2525C">
      <w:pPr>
        <w:contextualSpacing w:val="0"/>
        <w:jc w:val="both"/>
        <w:rPr>
          <w:highlight w:val="white"/>
        </w:rPr>
      </w:pPr>
    </w:p>
    <w:p w14:paraId="0C54D927" w14:textId="56C5AD01" w:rsidR="00965CDB" w:rsidRDefault="00965CDB" w:rsidP="00B2525C">
      <w:pPr>
        <w:contextualSpacing w:val="0"/>
        <w:jc w:val="both"/>
        <w:rPr>
          <w:highlight w:val="white"/>
        </w:rPr>
      </w:pPr>
      <w:r>
        <w:rPr>
          <w:highlight w:val="white"/>
        </w:rPr>
        <w:t>AFFILIATIONS ORGANISATIONNELLES / ACADÉMIQUES / PROFESSIONNELLES :</w:t>
      </w:r>
    </w:p>
    <w:p w14:paraId="0079D147" w14:textId="2D72B02A" w:rsidR="00965CDB" w:rsidRDefault="00965CDB" w:rsidP="00B2525C">
      <w:pPr>
        <w:contextualSpacing w:val="0"/>
        <w:jc w:val="both"/>
        <w:rPr>
          <w:highlight w:val="white"/>
        </w:rPr>
      </w:pPr>
      <w:r>
        <w:rPr>
          <w:highlight w:val="white"/>
        </w:rPr>
        <w:t>(Facultatif)</w:t>
      </w:r>
    </w:p>
    <w:p w14:paraId="23DD0E35" w14:textId="7276BDA6" w:rsidR="00965CDB" w:rsidRDefault="00965CDB" w:rsidP="00B2525C">
      <w:pPr>
        <w:contextualSpacing w:val="0"/>
        <w:jc w:val="both"/>
        <w:rPr>
          <w:highlight w:val="white"/>
        </w:rPr>
      </w:pPr>
    </w:p>
    <w:p w14:paraId="50568490" w14:textId="6297A302" w:rsidR="00965CDB" w:rsidRDefault="00965CDB" w:rsidP="00B2525C">
      <w:pPr>
        <w:contextualSpacing w:val="0"/>
        <w:jc w:val="both"/>
        <w:rPr>
          <w:highlight w:val="white"/>
        </w:rPr>
      </w:pPr>
      <w:r>
        <w:rPr>
          <w:highlight w:val="white"/>
        </w:rPr>
        <w:t>TYPE DE SIGNATURE :</w:t>
      </w:r>
    </w:p>
    <w:p w14:paraId="29C38DD2" w14:textId="4E248B47" w:rsidR="00965CDB" w:rsidRDefault="00965CDB" w:rsidP="00B2525C">
      <w:pPr>
        <w:contextualSpacing w:val="0"/>
        <w:jc w:val="both"/>
        <w:rPr>
          <w:highlight w:val="white"/>
        </w:rPr>
      </w:pPr>
    </w:p>
    <w:p w14:paraId="6B000266" w14:textId="1FD3F77E" w:rsidR="00965CDB" w:rsidRDefault="00965CDB" w:rsidP="00B2525C">
      <w:pPr>
        <w:contextualSpacing w:val="0"/>
        <w:jc w:val="both"/>
        <w:rPr>
          <w:highlight w:val="white"/>
        </w:rPr>
      </w:pPr>
      <w:r>
        <w:rPr>
          <w:highlight w:val="white"/>
        </w:rPr>
        <w:t>- Individu</w:t>
      </w:r>
    </w:p>
    <w:p w14:paraId="497AF7F1" w14:textId="76998EBE" w:rsidR="00965CDB" w:rsidRDefault="00965CDB" w:rsidP="00B2525C">
      <w:pPr>
        <w:contextualSpacing w:val="0"/>
        <w:jc w:val="both"/>
        <w:rPr>
          <w:highlight w:val="white"/>
        </w:rPr>
      </w:pPr>
      <w:r>
        <w:rPr>
          <w:highlight w:val="white"/>
        </w:rPr>
        <w:t xml:space="preserve">- Organisation </w:t>
      </w:r>
    </w:p>
    <w:p w14:paraId="7C06051B" w14:textId="0DFEE734" w:rsidR="00965CDB" w:rsidRDefault="00965CDB" w:rsidP="00B2525C">
      <w:pPr>
        <w:contextualSpacing w:val="0"/>
        <w:jc w:val="both"/>
        <w:rPr>
          <w:highlight w:val="white"/>
        </w:rPr>
      </w:pPr>
    </w:p>
    <w:p w14:paraId="05C36C3C" w14:textId="77777777" w:rsidR="00965CDB" w:rsidRDefault="00965CDB" w:rsidP="00965CDB">
      <w:pPr>
        <w:contextualSpacing w:val="0"/>
        <w:jc w:val="both"/>
        <w:rPr>
          <w:highlight w:val="white"/>
        </w:rPr>
      </w:pPr>
      <w:r>
        <w:rPr>
          <w:highlight w:val="white"/>
        </w:rPr>
        <w:t xml:space="preserve">ADRESSE EMAIL : </w:t>
      </w:r>
    </w:p>
    <w:p w14:paraId="06F87C41" w14:textId="77777777" w:rsidR="00965CDB" w:rsidRDefault="00965CDB" w:rsidP="00B2525C">
      <w:pPr>
        <w:contextualSpacing w:val="0"/>
        <w:jc w:val="both"/>
        <w:rPr>
          <w:highlight w:val="white"/>
        </w:rPr>
      </w:pPr>
    </w:p>
    <w:p w14:paraId="499E3AE9" w14:textId="77777777" w:rsidR="004C2D54" w:rsidRDefault="004C2D54" w:rsidP="00B2525C">
      <w:pPr>
        <w:contextualSpacing w:val="0"/>
        <w:jc w:val="both"/>
        <w:rPr>
          <w:highlight w:val="white"/>
        </w:rPr>
      </w:pPr>
    </w:p>
    <w:p w14:paraId="3648131D" w14:textId="69C26139" w:rsidR="00822C69" w:rsidRDefault="00822C69" w:rsidP="00B2525C">
      <w:pPr>
        <w:contextualSpacing w:val="0"/>
        <w:jc w:val="both"/>
        <w:rPr>
          <w:highlight w:val="white"/>
        </w:rPr>
      </w:pPr>
    </w:p>
    <w:sectPr w:rsidR="00822C6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4085" w14:textId="77777777" w:rsidR="006029F4" w:rsidRDefault="006029F4">
      <w:pPr>
        <w:spacing w:line="240" w:lineRule="auto"/>
      </w:pPr>
      <w:r>
        <w:separator/>
      </w:r>
    </w:p>
  </w:endnote>
  <w:endnote w:type="continuationSeparator" w:id="0">
    <w:p w14:paraId="6E5ABB3F" w14:textId="77777777" w:rsidR="006029F4" w:rsidRDefault="0060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2C8F" w14:textId="77777777" w:rsidR="006029F4" w:rsidRDefault="006029F4">
      <w:pPr>
        <w:spacing w:line="240" w:lineRule="auto"/>
      </w:pPr>
      <w:r>
        <w:separator/>
      </w:r>
    </w:p>
  </w:footnote>
  <w:footnote w:type="continuationSeparator" w:id="0">
    <w:p w14:paraId="50B1EB69" w14:textId="77777777" w:rsidR="006029F4" w:rsidRDefault="006029F4">
      <w:pPr>
        <w:spacing w:line="240" w:lineRule="auto"/>
      </w:pPr>
      <w:r>
        <w:continuationSeparator/>
      </w:r>
    </w:p>
  </w:footnote>
  <w:footnote w:id="1">
    <w:p w14:paraId="2CAAD7B3" w14:textId="6947746F"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w:t>
      </w:r>
      <w:r w:rsidR="00965CDB" w:rsidRPr="00F675A8">
        <w:rPr>
          <w:sz w:val="16"/>
          <w:szCs w:val="16"/>
        </w:rPr>
        <w:t>Déclaration</w:t>
      </w:r>
      <w:r w:rsidRPr="00F675A8">
        <w:rPr>
          <w:sz w:val="16"/>
          <w:szCs w:val="16"/>
        </w:rPr>
        <w:t xml:space="preserve"> universelle des droits de l'homme, Préambule.</w:t>
      </w:r>
    </w:p>
  </w:footnote>
  <w:footnote w:id="2">
    <w:p w14:paraId="3121ABFF" w14:textId="13B8946F"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Principes de Droit</w:t>
      </w:r>
      <w:r w:rsidR="00C55A3B">
        <w:rPr>
          <w:sz w:val="16"/>
          <w:szCs w:val="16"/>
        </w:rPr>
        <w:t xml:space="preserve"> International reconnus dans la Charte </w:t>
      </w:r>
      <w:r w:rsidRPr="00F675A8">
        <w:rPr>
          <w:sz w:val="16"/>
          <w:szCs w:val="16"/>
        </w:rPr>
        <w:t xml:space="preserve">de Londres du Tribunal </w:t>
      </w:r>
      <w:r w:rsidR="00C55A3B">
        <w:rPr>
          <w:sz w:val="16"/>
          <w:szCs w:val="16"/>
        </w:rPr>
        <w:t>de Nuremberg</w:t>
      </w:r>
      <w:r w:rsidRPr="00F675A8">
        <w:rPr>
          <w:sz w:val="16"/>
          <w:szCs w:val="16"/>
        </w:rPr>
        <w:t xml:space="preserve"> ainsi que dans le jugement rendu par le tribunal et la commission de droit international (principes de Nuremberg) - Affirmés par la résolution 95(l) adoptée par l’Assemblée Générale de l’ONU. La Charte est considérée comme étant le reflet du droit international coutumier (voir </w:t>
      </w:r>
      <w:r w:rsidRPr="00F675A8">
        <w:rPr>
          <w:i/>
          <w:sz w:val="16"/>
          <w:szCs w:val="16"/>
        </w:rPr>
        <w:t>Tadic</w:t>
      </w:r>
      <w:r w:rsidRPr="00F675A8">
        <w:rPr>
          <w:sz w:val="16"/>
          <w:szCs w:val="16"/>
        </w:rPr>
        <w:t xml:space="preserve">, Opinion et Jugement, Chambre de Première Instance, 7 Mai 1997, para. 623; et </w:t>
      </w:r>
      <w:r w:rsidRPr="00F675A8">
        <w:rPr>
          <w:i/>
          <w:sz w:val="16"/>
          <w:szCs w:val="16"/>
        </w:rPr>
        <w:t>Tadic</w:t>
      </w:r>
      <w:r w:rsidRPr="00F675A8">
        <w:rPr>
          <w:sz w:val="16"/>
          <w:szCs w:val="16"/>
        </w:rPr>
        <w:t xml:space="preserve">, </w:t>
      </w:r>
      <w:r w:rsidR="00610782">
        <w:rPr>
          <w:sz w:val="16"/>
          <w:szCs w:val="16"/>
        </w:rPr>
        <w:t xml:space="preserve">Prosecutor v. Dusko Tadic a/k/a </w:t>
      </w:r>
      <w:r w:rsidR="00610782" w:rsidRPr="00610782">
        <w:rPr>
          <w:sz w:val="16"/>
          <w:szCs w:val="16"/>
        </w:rPr>
        <w:t>"</w:t>
      </w:r>
      <w:r w:rsidR="00610782">
        <w:rPr>
          <w:sz w:val="16"/>
          <w:szCs w:val="16"/>
        </w:rPr>
        <w:t>Dule</w:t>
      </w:r>
      <w:r w:rsidR="00610782" w:rsidRPr="00610782">
        <w:rPr>
          <w:sz w:val="16"/>
          <w:szCs w:val="16"/>
        </w:rPr>
        <w:t>"</w:t>
      </w:r>
      <w:r w:rsidR="00610782">
        <w:rPr>
          <w:sz w:val="16"/>
          <w:szCs w:val="16"/>
        </w:rPr>
        <w:t>, Chambre d’Appel</w:t>
      </w:r>
      <w:r w:rsidRPr="00F675A8">
        <w:rPr>
          <w:sz w:val="16"/>
          <w:szCs w:val="16"/>
        </w:rPr>
        <w:t>, 2 Octobre 1995, para. 141. Dans l</w:t>
      </w:r>
      <w:r w:rsidR="00610782">
        <w:rPr>
          <w:sz w:val="16"/>
          <w:szCs w:val="16"/>
        </w:rPr>
        <w:t xml:space="preserve">’affaire </w:t>
      </w:r>
      <w:r w:rsidRPr="00F675A8">
        <w:rPr>
          <w:i/>
          <w:sz w:val="16"/>
          <w:szCs w:val="16"/>
        </w:rPr>
        <w:t>Eichmann</w:t>
      </w:r>
      <w:r w:rsidR="00610782">
        <w:rPr>
          <w:sz w:val="16"/>
          <w:szCs w:val="16"/>
        </w:rPr>
        <w:t>, la Cour</w:t>
      </w:r>
      <w:r w:rsidRPr="00F675A8">
        <w:rPr>
          <w:sz w:val="16"/>
          <w:szCs w:val="16"/>
        </w:rPr>
        <w:t xml:space="preserve"> </w:t>
      </w:r>
      <w:r w:rsidR="00610782" w:rsidRPr="00F675A8">
        <w:rPr>
          <w:sz w:val="16"/>
          <w:szCs w:val="16"/>
        </w:rPr>
        <w:t>Suprême</w:t>
      </w:r>
      <w:r w:rsidR="00C55A3B">
        <w:rPr>
          <w:sz w:val="16"/>
          <w:szCs w:val="16"/>
        </w:rPr>
        <w:t xml:space="preserve"> i</w:t>
      </w:r>
      <w:r w:rsidRPr="00F675A8">
        <w:rPr>
          <w:sz w:val="16"/>
          <w:szCs w:val="16"/>
        </w:rPr>
        <w:t xml:space="preserve">sraélienne a </w:t>
      </w:r>
      <w:r w:rsidR="00610782" w:rsidRPr="00F675A8">
        <w:rPr>
          <w:sz w:val="16"/>
          <w:szCs w:val="16"/>
        </w:rPr>
        <w:t>jugé</w:t>
      </w:r>
      <w:r w:rsidRPr="00F675A8">
        <w:rPr>
          <w:sz w:val="16"/>
          <w:szCs w:val="16"/>
        </w:rPr>
        <w:t xml:space="preserve"> que</w:t>
      </w:r>
      <w:r w:rsidRPr="00F675A8">
        <w:rPr>
          <w:color w:val="FF0000"/>
          <w:sz w:val="16"/>
          <w:szCs w:val="16"/>
        </w:rPr>
        <w:t xml:space="preserve"> </w:t>
      </w:r>
      <w:r w:rsidRPr="00F675A8">
        <w:rPr>
          <w:sz w:val="16"/>
          <w:szCs w:val="16"/>
        </w:rPr>
        <w:t xml:space="preserve">la résolution 95(l) adoptée par l’Assemblée Générale de l’ONU </w:t>
      </w:r>
      <w:r w:rsidR="00610782">
        <w:rPr>
          <w:sz w:val="16"/>
          <w:szCs w:val="16"/>
        </w:rPr>
        <w:t>constituait un élément de preuve de l’appartenance des</w:t>
      </w:r>
      <w:r w:rsidRPr="00F675A8">
        <w:rPr>
          <w:sz w:val="16"/>
          <w:szCs w:val="16"/>
        </w:rPr>
        <w:t xml:space="preserve"> principes de Nuremberg </w:t>
      </w:r>
      <w:r w:rsidR="00610782">
        <w:rPr>
          <w:sz w:val="16"/>
          <w:szCs w:val="16"/>
        </w:rPr>
        <w:t>au</w:t>
      </w:r>
      <w:r w:rsidRPr="00F675A8">
        <w:rPr>
          <w:sz w:val="16"/>
          <w:szCs w:val="16"/>
        </w:rPr>
        <w:t xml:space="preserve"> droit international coutumier. D’après la Cour</w:t>
      </w:r>
      <w:r w:rsidR="00965CDB">
        <w:rPr>
          <w:sz w:val="16"/>
          <w:szCs w:val="16"/>
        </w:rPr>
        <w:t xml:space="preserve"> </w:t>
      </w:r>
      <w:r w:rsidRPr="00F675A8">
        <w:rPr>
          <w:sz w:val="16"/>
          <w:szCs w:val="16"/>
        </w:rPr>
        <w:t>: “s’il y a</w:t>
      </w:r>
      <w:r w:rsidR="00610782">
        <w:rPr>
          <w:sz w:val="16"/>
          <w:szCs w:val="16"/>
        </w:rPr>
        <w:t>vait quelque doute par rapport à l’affirmation selon laquelle les Principes de N</w:t>
      </w:r>
      <w:r w:rsidRPr="00F675A8">
        <w:rPr>
          <w:sz w:val="16"/>
          <w:szCs w:val="16"/>
        </w:rPr>
        <w:t xml:space="preserve">uremberg </w:t>
      </w:r>
      <w:r w:rsidR="00610782">
        <w:rPr>
          <w:sz w:val="16"/>
          <w:szCs w:val="16"/>
        </w:rPr>
        <w:t>figurent parmi l</w:t>
      </w:r>
      <w:r w:rsidRPr="00F675A8">
        <w:rPr>
          <w:sz w:val="16"/>
          <w:szCs w:val="16"/>
        </w:rPr>
        <w:t>es principes de droit coutumier depuis</w:t>
      </w:r>
      <w:r w:rsidR="00610782">
        <w:rPr>
          <w:sz w:val="16"/>
          <w:szCs w:val="16"/>
        </w:rPr>
        <w:t xml:space="preserve"> des temps immémoriaux</w:t>
      </w:r>
      <w:r w:rsidRPr="00F675A8">
        <w:rPr>
          <w:sz w:val="16"/>
          <w:szCs w:val="16"/>
        </w:rPr>
        <w:t xml:space="preserve">, ce doute </w:t>
      </w:r>
      <w:r w:rsidR="00610782">
        <w:rPr>
          <w:sz w:val="16"/>
          <w:szCs w:val="16"/>
        </w:rPr>
        <w:t>fut</w:t>
      </w:r>
      <w:r w:rsidRPr="00F675A8">
        <w:rPr>
          <w:sz w:val="16"/>
          <w:szCs w:val="16"/>
        </w:rPr>
        <w:t xml:space="preserve"> </w:t>
      </w:r>
      <w:r w:rsidR="00610782">
        <w:rPr>
          <w:sz w:val="16"/>
          <w:szCs w:val="16"/>
        </w:rPr>
        <w:t>levé</w:t>
      </w:r>
      <w:r w:rsidRPr="00F675A8">
        <w:rPr>
          <w:sz w:val="16"/>
          <w:szCs w:val="16"/>
        </w:rPr>
        <w:t xml:space="preserve"> par deux documents </w:t>
      </w:r>
      <w:r w:rsidR="00610782" w:rsidRPr="00F675A8">
        <w:rPr>
          <w:sz w:val="16"/>
          <w:szCs w:val="16"/>
        </w:rPr>
        <w:t>internationaux</w:t>
      </w:r>
      <w:r w:rsidR="00610782">
        <w:rPr>
          <w:sz w:val="16"/>
          <w:szCs w:val="16"/>
        </w:rPr>
        <w:t>. Nous faisons référence à la ré</w:t>
      </w:r>
      <w:r w:rsidRPr="00F675A8">
        <w:rPr>
          <w:sz w:val="16"/>
          <w:szCs w:val="16"/>
        </w:rPr>
        <w:t>soluti</w:t>
      </w:r>
      <w:r w:rsidR="00610782">
        <w:rPr>
          <w:sz w:val="16"/>
          <w:szCs w:val="16"/>
        </w:rPr>
        <w:t>on adoptée par l’Assemblée Géné</w:t>
      </w:r>
      <w:r w:rsidRPr="00F675A8">
        <w:rPr>
          <w:sz w:val="16"/>
          <w:szCs w:val="16"/>
        </w:rPr>
        <w:t xml:space="preserve">rale le 11 </w:t>
      </w:r>
      <w:r w:rsidR="00610782" w:rsidRPr="00F675A8">
        <w:rPr>
          <w:sz w:val="16"/>
          <w:szCs w:val="16"/>
        </w:rPr>
        <w:t>Décembre</w:t>
      </w:r>
      <w:r w:rsidR="00610782">
        <w:rPr>
          <w:sz w:val="16"/>
          <w:szCs w:val="16"/>
        </w:rPr>
        <w:t xml:space="preserve"> 1946 </w:t>
      </w:r>
      <w:r w:rsidR="00C55A3B">
        <w:rPr>
          <w:sz w:val="16"/>
          <w:szCs w:val="16"/>
        </w:rPr>
        <w:t xml:space="preserve">qui ‘affirme </w:t>
      </w:r>
      <w:r w:rsidRPr="00F675A8">
        <w:rPr>
          <w:sz w:val="16"/>
          <w:szCs w:val="16"/>
        </w:rPr>
        <w:t>les principes de droit internat</w:t>
      </w:r>
      <w:r w:rsidR="00C55A3B">
        <w:rPr>
          <w:sz w:val="16"/>
          <w:szCs w:val="16"/>
        </w:rPr>
        <w:t>ional reconnus dans la Charte de</w:t>
      </w:r>
      <w:r w:rsidRPr="00F675A8">
        <w:rPr>
          <w:sz w:val="16"/>
          <w:szCs w:val="16"/>
        </w:rPr>
        <w:t xml:space="preserve"> Nuremberg, </w:t>
      </w:r>
      <w:r w:rsidR="00610782">
        <w:rPr>
          <w:sz w:val="16"/>
          <w:szCs w:val="16"/>
        </w:rPr>
        <w:t>et le jugement rendu</w:t>
      </w:r>
      <w:r w:rsidRPr="00F675A8">
        <w:rPr>
          <w:sz w:val="16"/>
          <w:szCs w:val="16"/>
        </w:rPr>
        <w:t xml:space="preserve"> pa</w:t>
      </w:r>
      <w:r w:rsidR="00C55A3B">
        <w:rPr>
          <w:sz w:val="16"/>
          <w:szCs w:val="16"/>
        </w:rPr>
        <w:t>r le Tribunal’, ainsi qu’à</w:t>
      </w:r>
      <w:r w:rsidR="00610782">
        <w:rPr>
          <w:sz w:val="16"/>
          <w:szCs w:val="16"/>
        </w:rPr>
        <w:t xml:space="preserve"> la résolution 96(1) </w:t>
      </w:r>
      <w:r w:rsidR="00C55A3B">
        <w:rPr>
          <w:sz w:val="16"/>
          <w:szCs w:val="16"/>
        </w:rPr>
        <w:t>adoptée à la mê</w:t>
      </w:r>
      <w:r w:rsidRPr="00F675A8">
        <w:rPr>
          <w:sz w:val="16"/>
          <w:szCs w:val="16"/>
        </w:rPr>
        <w:t>me date par l’</w:t>
      </w:r>
      <w:r w:rsidR="00610782" w:rsidRPr="00F675A8">
        <w:rPr>
          <w:sz w:val="16"/>
          <w:szCs w:val="16"/>
        </w:rPr>
        <w:t>Assemblée</w:t>
      </w:r>
      <w:r w:rsidRPr="00F675A8">
        <w:rPr>
          <w:sz w:val="16"/>
          <w:szCs w:val="16"/>
        </w:rPr>
        <w:t xml:space="preserve"> </w:t>
      </w:r>
      <w:r w:rsidR="00610782" w:rsidRPr="00F675A8">
        <w:rPr>
          <w:sz w:val="16"/>
          <w:szCs w:val="16"/>
        </w:rPr>
        <w:t>Générale</w:t>
      </w:r>
      <w:r w:rsidRPr="00F675A8">
        <w:rPr>
          <w:sz w:val="16"/>
          <w:szCs w:val="16"/>
        </w:rPr>
        <w:t xml:space="preserve"> </w:t>
      </w:r>
      <w:r w:rsidR="00C55A3B">
        <w:rPr>
          <w:sz w:val="16"/>
          <w:szCs w:val="16"/>
        </w:rPr>
        <w:t>dans laquelle elle</w:t>
      </w:r>
      <w:r w:rsidRPr="00F675A8">
        <w:rPr>
          <w:sz w:val="16"/>
          <w:szCs w:val="16"/>
        </w:rPr>
        <w:t xml:space="preserve"> ‘affirme que le </w:t>
      </w:r>
      <w:r w:rsidR="00610782" w:rsidRPr="00F675A8">
        <w:rPr>
          <w:sz w:val="16"/>
          <w:szCs w:val="16"/>
        </w:rPr>
        <w:t>Génocide</w:t>
      </w:r>
      <w:r w:rsidRPr="00F675A8">
        <w:rPr>
          <w:sz w:val="16"/>
          <w:szCs w:val="16"/>
        </w:rPr>
        <w:t xml:space="preserve"> est un crime </w:t>
      </w:r>
      <w:r w:rsidR="00C55A3B">
        <w:rPr>
          <w:sz w:val="16"/>
          <w:szCs w:val="16"/>
        </w:rPr>
        <w:t>de</w:t>
      </w:r>
      <w:r w:rsidRPr="00F675A8">
        <w:rPr>
          <w:sz w:val="16"/>
          <w:szCs w:val="16"/>
        </w:rPr>
        <w:t xml:space="preserve"> droit international’”. </w:t>
      </w:r>
      <w:r w:rsidRPr="00F675A8">
        <w:rPr>
          <w:i/>
          <w:sz w:val="16"/>
          <w:szCs w:val="16"/>
        </w:rPr>
        <w:t>(Procureur General d’</w:t>
      </w:r>
      <w:r w:rsidR="00C55A3B" w:rsidRPr="00F675A8">
        <w:rPr>
          <w:i/>
          <w:sz w:val="16"/>
          <w:szCs w:val="16"/>
        </w:rPr>
        <w:t>Israël</w:t>
      </w:r>
      <w:r w:rsidRPr="00F675A8">
        <w:rPr>
          <w:i/>
          <w:sz w:val="16"/>
          <w:szCs w:val="16"/>
        </w:rPr>
        <w:t xml:space="preserve"> v. Eichmann</w:t>
      </w:r>
      <w:r w:rsidR="00C55A3B">
        <w:rPr>
          <w:sz w:val="16"/>
          <w:szCs w:val="16"/>
        </w:rPr>
        <w:t>, Cour</w:t>
      </w:r>
      <w:r w:rsidRPr="00F675A8">
        <w:rPr>
          <w:sz w:val="16"/>
          <w:szCs w:val="16"/>
        </w:rPr>
        <w:t xml:space="preserve"> </w:t>
      </w:r>
      <w:r w:rsidR="00C55A3B" w:rsidRPr="00F675A8">
        <w:rPr>
          <w:sz w:val="16"/>
          <w:szCs w:val="16"/>
        </w:rPr>
        <w:t>Suprême</w:t>
      </w:r>
      <w:r w:rsidRPr="00F675A8">
        <w:rPr>
          <w:sz w:val="16"/>
          <w:szCs w:val="16"/>
        </w:rPr>
        <w:t xml:space="preserve"> d’</w:t>
      </w:r>
      <w:r w:rsidR="00C55A3B" w:rsidRPr="00F675A8">
        <w:rPr>
          <w:sz w:val="16"/>
          <w:szCs w:val="16"/>
        </w:rPr>
        <w:t>Israël</w:t>
      </w:r>
      <w:r w:rsidRPr="00F675A8">
        <w:rPr>
          <w:sz w:val="16"/>
          <w:szCs w:val="16"/>
        </w:rPr>
        <w:t xml:space="preserve"> (1962) 36 ILR 277).</w:t>
      </w:r>
    </w:p>
  </w:footnote>
  <w:footnote w:id="3">
    <w:p w14:paraId="73D0116D" w14:textId="6A735339"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w:t>
      </w:r>
      <w:r w:rsidRPr="00F675A8">
        <w:rPr>
          <w:i/>
          <w:sz w:val="16"/>
          <w:szCs w:val="16"/>
        </w:rPr>
        <w:t>Ibid</w:t>
      </w:r>
      <w:r w:rsidRPr="00F675A8">
        <w:rPr>
          <w:sz w:val="16"/>
          <w:szCs w:val="16"/>
        </w:rPr>
        <w:t xml:space="preserve">, Principes I et VI, qui sont </w:t>
      </w:r>
      <w:r w:rsidR="00C55A3B">
        <w:rPr>
          <w:sz w:val="16"/>
          <w:szCs w:val="16"/>
        </w:rPr>
        <w:t>repris</w:t>
      </w:r>
      <w:r w:rsidRPr="00F675A8">
        <w:rPr>
          <w:sz w:val="16"/>
          <w:szCs w:val="16"/>
        </w:rPr>
        <w:t xml:space="preserve"> dans les articles 5 et 25 du Statut de Rome.</w:t>
      </w:r>
    </w:p>
  </w:footnote>
  <w:footnote w:id="4">
    <w:p w14:paraId="103980DB" w14:textId="6E296449"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w:t>
      </w:r>
      <w:r w:rsidRPr="00F675A8">
        <w:rPr>
          <w:i/>
          <w:sz w:val="16"/>
          <w:szCs w:val="16"/>
        </w:rPr>
        <w:t>Voir</w:t>
      </w:r>
      <w:r w:rsidR="00C55A3B">
        <w:rPr>
          <w:i/>
          <w:sz w:val="16"/>
          <w:szCs w:val="16"/>
        </w:rPr>
        <w:t xml:space="preserve"> </w:t>
      </w:r>
      <w:r w:rsidRPr="00F675A8">
        <w:rPr>
          <w:sz w:val="16"/>
          <w:szCs w:val="16"/>
        </w:rPr>
        <w:t xml:space="preserve">: Principes fondamentaux et directives concernant le droit à un recours et à </w:t>
      </w:r>
      <w:r w:rsidR="00C55A3B" w:rsidRPr="00F675A8">
        <w:rPr>
          <w:sz w:val="16"/>
          <w:szCs w:val="16"/>
        </w:rPr>
        <w:t>réparation</w:t>
      </w:r>
      <w:r w:rsidRPr="00F675A8">
        <w:rPr>
          <w:sz w:val="16"/>
          <w:szCs w:val="16"/>
        </w:rPr>
        <w:t xml:space="preserve"> des victimes de violations flagrantes du droit international des droits de l’homme et de violations graves du droit international h</w:t>
      </w:r>
      <w:r w:rsidR="00807D8B">
        <w:rPr>
          <w:sz w:val="16"/>
          <w:szCs w:val="16"/>
        </w:rPr>
        <w:t>umanitaire (A/RES/60/147 du 16 dé</w:t>
      </w:r>
      <w:r w:rsidRPr="00F675A8">
        <w:rPr>
          <w:sz w:val="16"/>
          <w:szCs w:val="16"/>
        </w:rPr>
        <w:t>cembre 2005)</w:t>
      </w:r>
      <w:r w:rsidR="00C55A3B">
        <w:rPr>
          <w:sz w:val="16"/>
          <w:szCs w:val="16"/>
        </w:rPr>
        <w:t xml:space="preserve"> </w:t>
      </w:r>
      <w:r w:rsidRPr="00F675A8">
        <w:rPr>
          <w:sz w:val="16"/>
          <w:szCs w:val="16"/>
        </w:rPr>
        <w:t>; voir en plus</w:t>
      </w:r>
      <w:r w:rsidR="00C55A3B">
        <w:rPr>
          <w:sz w:val="16"/>
          <w:szCs w:val="16"/>
        </w:rPr>
        <w:t xml:space="preserve"> </w:t>
      </w:r>
      <w:r w:rsidRPr="00F675A8">
        <w:rPr>
          <w:sz w:val="16"/>
          <w:szCs w:val="16"/>
        </w:rPr>
        <w:t>: Article 8 de la Déclaration Universelle des Droits de l’Homme</w:t>
      </w:r>
      <w:r w:rsidR="00C55A3B">
        <w:rPr>
          <w:sz w:val="16"/>
          <w:szCs w:val="16"/>
        </w:rPr>
        <w:t xml:space="preserve"> </w:t>
      </w:r>
      <w:r w:rsidRPr="00F675A8">
        <w:rPr>
          <w:sz w:val="16"/>
          <w:szCs w:val="16"/>
        </w:rPr>
        <w:t>; Article 2 du Pacte International Relatif aux Droits Civils et Politiques</w:t>
      </w:r>
      <w:r w:rsidR="00C55A3B">
        <w:rPr>
          <w:sz w:val="16"/>
          <w:szCs w:val="16"/>
        </w:rPr>
        <w:t xml:space="preserve"> </w:t>
      </w:r>
      <w:r w:rsidRPr="00F675A8">
        <w:rPr>
          <w:sz w:val="16"/>
          <w:szCs w:val="16"/>
        </w:rPr>
        <w:t>; Article 6 de la Convention Internationale Convention internationale sur l'élimination de toutes les formes de discrimination raciale</w:t>
      </w:r>
      <w:r w:rsidR="00C55A3B">
        <w:rPr>
          <w:sz w:val="16"/>
          <w:szCs w:val="16"/>
        </w:rPr>
        <w:t xml:space="preserve"> </w:t>
      </w:r>
      <w:r w:rsidRPr="00F675A8">
        <w:rPr>
          <w:sz w:val="16"/>
          <w:szCs w:val="16"/>
        </w:rPr>
        <w:t>; Article 14 de la Convention Contre la Torture et Autres Peines ou Traitements Cruels, Inhumains ou Dégradant</w:t>
      </w:r>
      <w:r w:rsidR="00C55A3B">
        <w:rPr>
          <w:sz w:val="16"/>
          <w:szCs w:val="16"/>
        </w:rPr>
        <w:t xml:space="preserve"> </w:t>
      </w:r>
      <w:r w:rsidRPr="00F675A8">
        <w:rPr>
          <w:sz w:val="16"/>
          <w:szCs w:val="16"/>
        </w:rPr>
        <w:t>s; Article 39 de la Convention Internationale Relative aux Droits de l’Enfant</w:t>
      </w:r>
      <w:r w:rsidR="00C55A3B">
        <w:rPr>
          <w:sz w:val="16"/>
          <w:szCs w:val="16"/>
        </w:rPr>
        <w:t xml:space="preserve"> </w:t>
      </w:r>
      <w:r w:rsidRPr="00F675A8">
        <w:rPr>
          <w:sz w:val="16"/>
          <w:szCs w:val="16"/>
        </w:rPr>
        <w:t xml:space="preserve">; Article 3 </w:t>
      </w:r>
      <w:r w:rsidRPr="00F675A8">
        <w:rPr>
          <w:sz w:val="16"/>
          <w:szCs w:val="16"/>
          <w:highlight w:val="white"/>
        </w:rPr>
        <w:t>concernant les lois et coutumes de la guerre sur terre du 18 Octobre 1907 (Convention IV)</w:t>
      </w:r>
      <w:r w:rsidR="00C55A3B">
        <w:rPr>
          <w:sz w:val="16"/>
          <w:szCs w:val="16"/>
          <w:highlight w:val="white"/>
        </w:rPr>
        <w:t xml:space="preserve"> </w:t>
      </w:r>
      <w:r w:rsidRPr="00F675A8">
        <w:rPr>
          <w:sz w:val="16"/>
          <w:szCs w:val="16"/>
          <w:highlight w:val="white"/>
        </w:rPr>
        <w:t>; Article 91 du Protocole additionnel aux Conventions de Genève du 12 août 1949 relatif à la protection des victimes des conflits armés internationaux (Protocole I) du 8 juin 1977</w:t>
      </w:r>
      <w:r w:rsidR="00C55A3B">
        <w:rPr>
          <w:sz w:val="16"/>
          <w:szCs w:val="16"/>
          <w:highlight w:val="white"/>
        </w:rPr>
        <w:t xml:space="preserve"> </w:t>
      </w:r>
      <w:r w:rsidRPr="00F675A8">
        <w:rPr>
          <w:sz w:val="16"/>
          <w:szCs w:val="16"/>
          <w:highlight w:val="white"/>
        </w:rPr>
        <w:t>; et les Articles 68 et 75 du Statut de Rome de la Cour Pénale Internationale.</w:t>
      </w:r>
    </w:p>
  </w:footnote>
  <w:footnote w:id="5">
    <w:p w14:paraId="09110796" w14:textId="77777777"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Préambule, Statut de Rome.</w:t>
      </w:r>
    </w:p>
  </w:footnote>
  <w:footnote w:id="6">
    <w:p w14:paraId="6D5CB78B" w14:textId="77777777"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w:t>
      </w:r>
      <w:r w:rsidRPr="00F675A8">
        <w:rPr>
          <w:i/>
          <w:sz w:val="16"/>
          <w:szCs w:val="16"/>
        </w:rPr>
        <w:t>Conséquences Juridiques de l’Édification d’un Mur dans le Territoire Palestinien Occupé</w:t>
      </w:r>
      <w:r w:rsidRPr="00F675A8">
        <w:rPr>
          <w:sz w:val="16"/>
          <w:szCs w:val="16"/>
        </w:rPr>
        <w:t xml:space="preserve"> (Avis Consultatif) [2004] CIJ Rap 2004, [78].</w:t>
      </w:r>
    </w:p>
  </w:footnote>
  <w:footnote w:id="7">
    <w:p w14:paraId="18FA363A" w14:textId="7424A445"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Aucune organi</w:t>
      </w:r>
      <w:r w:rsidR="00C55A3B">
        <w:rPr>
          <w:sz w:val="16"/>
          <w:szCs w:val="16"/>
        </w:rPr>
        <w:t xml:space="preserve">sation internationale ou </w:t>
      </w:r>
      <w:r w:rsidRPr="00F675A8">
        <w:rPr>
          <w:sz w:val="16"/>
          <w:szCs w:val="16"/>
        </w:rPr>
        <w:t xml:space="preserve">autre </w:t>
      </w:r>
      <w:r w:rsidR="00C55A3B">
        <w:rPr>
          <w:sz w:val="16"/>
          <w:szCs w:val="16"/>
        </w:rPr>
        <w:t xml:space="preserve">instance pertinente au niveau international n’a </w:t>
      </w:r>
      <w:r w:rsidR="00B22DE4">
        <w:rPr>
          <w:sz w:val="16"/>
          <w:szCs w:val="16"/>
        </w:rPr>
        <w:t>conclu</w:t>
      </w:r>
      <w:r w:rsidRPr="00F675A8">
        <w:rPr>
          <w:sz w:val="16"/>
          <w:szCs w:val="16"/>
        </w:rPr>
        <w:t xml:space="preserve"> </w:t>
      </w:r>
      <w:r w:rsidR="00B22DE4">
        <w:rPr>
          <w:sz w:val="16"/>
          <w:szCs w:val="16"/>
        </w:rPr>
        <w:t>que le “dé</w:t>
      </w:r>
      <w:r w:rsidRPr="00F675A8">
        <w:rPr>
          <w:sz w:val="16"/>
          <w:szCs w:val="16"/>
        </w:rPr>
        <w:t xml:space="preserve">sengagement” </w:t>
      </w:r>
      <w:r w:rsidR="00B22DE4">
        <w:rPr>
          <w:sz w:val="16"/>
          <w:szCs w:val="16"/>
        </w:rPr>
        <w:t>d’Israël</w:t>
      </w:r>
      <w:r w:rsidRPr="00F675A8">
        <w:rPr>
          <w:sz w:val="16"/>
          <w:szCs w:val="16"/>
        </w:rPr>
        <w:t xml:space="preserve"> </w:t>
      </w:r>
      <w:r w:rsidR="00B22DE4">
        <w:rPr>
          <w:sz w:val="16"/>
          <w:szCs w:val="16"/>
        </w:rPr>
        <w:t>de</w:t>
      </w:r>
      <w:r w:rsidRPr="00F675A8">
        <w:rPr>
          <w:sz w:val="16"/>
          <w:szCs w:val="16"/>
        </w:rPr>
        <w:t xml:space="preserve"> la bande de Gaza en 2005</w:t>
      </w:r>
      <w:r w:rsidR="00B22DE4">
        <w:rPr>
          <w:sz w:val="16"/>
          <w:szCs w:val="16"/>
        </w:rPr>
        <w:t xml:space="preserve"> puisse constituer la fin de son statut de puissance occupante. </w:t>
      </w:r>
      <w:r w:rsidRPr="00F675A8">
        <w:rPr>
          <w:sz w:val="16"/>
          <w:szCs w:val="16"/>
        </w:rPr>
        <w:t xml:space="preserve">Comme le </w:t>
      </w:r>
      <w:r w:rsidR="00B22DE4">
        <w:rPr>
          <w:sz w:val="16"/>
          <w:szCs w:val="16"/>
        </w:rPr>
        <w:t>Bureau du Procureur l’a constaté</w:t>
      </w:r>
      <w:r w:rsidRPr="00F675A8">
        <w:rPr>
          <w:sz w:val="16"/>
          <w:szCs w:val="16"/>
        </w:rPr>
        <w:t xml:space="preserve"> dans le rapport Flotilla</w:t>
      </w:r>
      <w:r w:rsidR="00B22DE4">
        <w:rPr>
          <w:sz w:val="16"/>
          <w:szCs w:val="16"/>
        </w:rPr>
        <w:t xml:space="preserve"> : </w:t>
      </w:r>
      <w:r w:rsidR="00B22DE4" w:rsidRPr="00F675A8">
        <w:rPr>
          <w:sz w:val="16"/>
          <w:szCs w:val="16"/>
        </w:rPr>
        <w:t>“</w:t>
      </w:r>
      <w:r w:rsidR="00B22DE4">
        <w:rPr>
          <w:sz w:val="16"/>
          <w:szCs w:val="16"/>
        </w:rPr>
        <w:t>L’opinion la plus répandue parmi la communauté</w:t>
      </w:r>
      <w:r w:rsidRPr="00F675A8">
        <w:rPr>
          <w:sz w:val="16"/>
          <w:szCs w:val="16"/>
        </w:rPr>
        <w:t xml:space="preserve"> internationale est qu’</w:t>
      </w:r>
      <w:r w:rsidR="00B22DE4" w:rsidRPr="00F675A8">
        <w:rPr>
          <w:sz w:val="16"/>
          <w:szCs w:val="16"/>
        </w:rPr>
        <w:t>Israël</w:t>
      </w:r>
      <w:r w:rsidRPr="00F675A8">
        <w:rPr>
          <w:sz w:val="16"/>
          <w:szCs w:val="16"/>
        </w:rPr>
        <w:t xml:space="preserve"> </w:t>
      </w:r>
      <w:r w:rsidR="00B22DE4">
        <w:rPr>
          <w:sz w:val="16"/>
          <w:szCs w:val="16"/>
        </w:rPr>
        <w:t>demeure</w:t>
      </w:r>
      <w:r w:rsidRPr="00F675A8">
        <w:rPr>
          <w:sz w:val="16"/>
          <w:szCs w:val="16"/>
        </w:rPr>
        <w:t xml:space="preserve"> une puissance occupante dans</w:t>
      </w:r>
      <w:r w:rsidR="00B22DE4">
        <w:rPr>
          <w:sz w:val="16"/>
          <w:szCs w:val="16"/>
        </w:rPr>
        <w:t xml:space="preserve"> la bande de</w:t>
      </w:r>
      <w:r w:rsidRPr="00F675A8">
        <w:rPr>
          <w:sz w:val="16"/>
          <w:szCs w:val="16"/>
        </w:rPr>
        <w:t xml:space="preserve"> Gaza </w:t>
      </w:r>
      <w:r w:rsidR="00B22DE4" w:rsidRPr="00F675A8">
        <w:rPr>
          <w:sz w:val="16"/>
          <w:szCs w:val="16"/>
        </w:rPr>
        <w:t>malgré</w:t>
      </w:r>
      <w:r w:rsidRPr="00F675A8">
        <w:rPr>
          <w:sz w:val="16"/>
          <w:szCs w:val="16"/>
        </w:rPr>
        <w:t xml:space="preserve"> le </w:t>
      </w:r>
      <w:r w:rsidR="00B22DE4" w:rsidRPr="00F675A8">
        <w:rPr>
          <w:sz w:val="16"/>
          <w:szCs w:val="16"/>
        </w:rPr>
        <w:t>désengagement</w:t>
      </w:r>
      <w:r w:rsidR="00B22DE4">
        <w:rPr>
          <w:sz w:val="16"/>
          <w:szCs w:val="16"/>
        </w:rPr>
        <w:t xml:space="preserve"> promis en 2005</w:t>
      </w:r>
      <w:r w:rsidRPr="00F675A8">
        <w:rPr>
          <w:sz w:val="16"/>
          <w:szCs w:val="16"/>
        </w:rPr>
        <w:t>”, para.25, concluant</w:t>
      </w:r>
      <w:r w:rsidR="00B22DE4">
        <w:rPr>
          <w:sz w:val="16"/>
          <w:szCs w:val="16"/>
        </w:rPr>
        <w:t xml:space="preserve"> </w:t>
      </w:r>
      <w:r w:rsidRPr="00F675A8">
        <w:rPr>
          <w:sz w:val="16"/>
          <w:szCs w:val="16"/>
        </w:rPr>
        <w:t>: “</w:t>
      </w:r>
      <w:r w:rsidR="00B22DE4">
        <w:rPr>
          <w:sz w:val="16"/>
          <w:szCs w:val="16"/>
        </w:rPr>
        <w:t xml:space="preserve">Il existe suffisamment d’éléments </w:t>
      </w:r>
      <w:r w:rsidRPr="00F675A8">
        <w:rPr>
          <w:sz w:val="16"/>
          <w:szCs w:val="16"/>
        </w:rPr>
        <w:t xml:space="preserve">permettant raisonnablement </w:t>
      </w:r>
      <w:r w:rsidR="00B22DE4">
        <w:rPr>
          <w:sz w:val="16"/>
          <w:szCs w:val="16"/>
        </w:rPr>
        <w:t>de conclure qu’</w:t>
      </w:r>
      <w:r w:rsidR="00B22DE4" w:rsidRPr="00F675A8">
        <w:rPr>
          <w:sz w:val="16"/>
          <w:szCs w:val="16"/>
        </w:rPr>
        <w:t>Israël</w:t>
      </w:r>
      <w:r w:rsidRPr="00F675A8">
        <w:rPr>
          <w:sz w:val="16"/>
          <w:szCs w:val="16"/>
        </w:rPr>
        <w:t xml:space="preserve"> </w:t>
      </w:r>
      <w:r w:rsidR="00B22DE4">
        <w:rPr>
          <w:sz w:val="16"/>
          <w:szCs w:val="16"/>
        </w:rPr>
        <w:t>demeure une puissance occupante à</w:t>
      </w:r>
      <w:r w:rsidRPr="00F675A8">
        <w:rPr>
          <w:sz w:val="16"/>
          <w:szCs w:val="16"/>
        </w:rPr>
        <w:t xml:space="preserve"> Gaza”. Id. para. 27,29. A voir </w:t>
      </w:r>
      <w:r w:rsidR="00B22DE4" w:rsidRPr="00F675A8">
        <w:rPr>
          <w:sz w:val="16"/>
          <w:szCs w:val="16"/>
        </w:rPr>
        <w:t>également</w:t>
      </w:r>
      <w:r w:rsidR="00B22DE4">
        <w:rPr>
          <w:sz w:val="16"/>
          <w:szCs w:val="16"/>
        </w:rPr>
        <w:t xml:space="preserve"> :</w:t>
      </w:r>
      <w:r w:rsidRPr="00F675A8">
        <w:rPr>
          <w:sz w:val="16"/>
          <w:szCs w:val="16"/>
        </w:rPr>
        <w:t xml:space="preserve"> “</w:t>
      </w:r>
      <w:r w:rsidRPr="00F675A8">
        <w:rPr>
          <w:i/>
          <w:sz w:val="16"/>
          <w:szCs w:val="16"/>
        </w:rPr>
        <w:t>Situation of Palestine: Closure of Gaza – Palestinian Human Rights and Victims’ Communication to the International Criminal Court Pursuant to Article 15 of the Rome Statute Requesting Investigation and Prosecution of the Illegal Closure of the Gaza Strip: Persecution and Other Humane Acts Committed against the Civilian Population as Crimes Against Humanity</w:t>
      </w:r>
      <w:r w:rsidRPr="00F675A8">
        <w:rPr>
          <w:sz w:val="16"/>
          <w:szCs w:val="16"/>
        </w:rPr>
        <w:t xml:space="preserve">”, </w:t>
      </w:r>
      <w:r w:rsidR="00E91806">
        <w:rPr>
          <w:sz w:val="16"/>
          <w:szCs w:val="16"/>
        </w:rPr>
        <w:t>remis</w:t>
      </w:r>
      <w:r w:rsidRPr="00F675A8">
        <w:rPr>
          <w:sz w:val="16"/>
          <w:szCs w:val="16"/>
        </w:rPr>
        <w:t xml:space="preserve"> par Palestinian Centre for Human Rights, Al-Haq, Al-Mezan Centre for Human Rights and Aldameer Association for Human Rights, Novembre 2016.</w:t>
      </w:r>
    </w:p>
  </w:footnote>
  <w:footnote w:id="8">
    <w:p w14:paraId="4BD2F694" w14:textId="1365B199" w:rsidR="001C32AE"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Voir notes de </w:t>
      </w:r>
      <w:r w:rsidR="00E91806">
        <w:rPr>
          <w:sz w:val="16"/>
          <w:szCs w:val="16"/>
        </w:rPr>
        <w:t>bas</w:t>
      </w:r>
      <w:r w:rsidRPr="00F675A8">
        <w:rPr>
          <w:sz w:val="16"/>
          <w:szCs w:val="16"/>
        </w:rPr>
        <w:t xml:space="preserve"> de page 22 à 26 du Renvoi effectué par l’État Palestinien le 15 Mai 2018.</w:t>
      </w:r>
    </w:p>
  </w:footnote>
  <w:footnote w:id="9">
    <w:p w14:paraId="3FF9F3C4" w14:textId="44216B17" w:rsidR="001C32AE"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Voir ci-dessus, note de bas de page </w:t>
      </w:r>
      <w:r w:rsidR="00E91806">
        <w:rPr>
          <w:sz w:val="16"/>
          <w:szCs w:val="16"/>
        </w:rPr>
        <w:t>7</w:t>
      </w:r>
      <w:r w:rsidRPr="00F675A8">
        <w:rPr>
          <w:sz w:val="16"/>
          <w:szCs w:val="16"/>
        </w:rPr>
        <w:t>, “</w:t>
      </w:r>
      <w:r w:rsidRPr="00F675A8">
        <w:rPr>
          <w:i/>
          <w:sz w:val="16"/>
          <w:szCs w:val="16"/>
        </w:rPr>
        <w:t>Situation de la Palestine</w:t>
      </w:r>
      <w:r w:rsidR="00E91806">
        <w:rPr>
          <w:i/>
          <w:sz w:val="16"/>
          <w:szCs w:val="16"/>
        </w:rPr>
        <w:t xml:space="preserve"> </w:t>
      </w:r>
      <w:r w:rsidRPr="00F675A8">
        <w:rPr>
          <w:i/>
          <w:sz w:val="16"/>
          <w:szCs w:val="16"/>
        </w:rPr>
        <w:t>: Fermeture de Gaza”.</w:t>
      </w:r>
      <w:r w:rsidR="001C32AE">
        <w:rPr>
          <w:sz w:val="16"/>
          <w:szCs w:val="16"/>
        </w:rPr>
        <w:t xml:space="preserve"> Plusieurs communications confidentielles ont déjà été adressées à la Cour pénale internationale par des organisations palestiniennes de défense des droits de l’homme au nom des victimes de crimes contre l’humanité perpétrés par des responsables israéliens de haut rang au cours de l’opération militaire intitulée </w:t>
      </w:r>
      <w:r w:rsidR="001C32AE" w:rsidRPr="001C32AE">
        <w:rPr>
          <w:sz w:val="16"/>
          <w:szCs w:val="16"/>
        </w:rPr>
        <w:t>“</w:t>
      </w:r>
      <w:r w:rsidR="001C32AE" w:rsidRPr="00532C7B">
        <w:rPr>
          <w:i/>
          <w:sz w:val="16"/>
          <w:szCs w:val="16"/>
        </w:rPr>
        <w:t>Operation Protective Edge</w:t>
      </w:r>
      <w:r w:rsidR="001C32AE" w:rsidRPr="001C32AE">
        <w:rPr>
          <w:sz w:val="16"/>
          <w:szCs w:val="16"/>
        </w:rPr>
        <w:t>”</w:t>
      </w:r>
      <w:r w:rsidR="001C32AE">
        <w:rPr>
          <w:sz w:val="16"/>
          <w:szCs w:val="16"/>
        </w:rPr>
        <w:t>.</w:t>
      </w:r>
    </w:p>
  </w:footnote>
  <w:footnote w:id="10">
    <w:p w14:paraId="4DEFA441" w14:textId="5856EEBD" w:rsidR="00581E8F" w:rsidRPr="00F675A8" w:rsidRDefault="00581E8F" w:rsidP="00581E8F">
      <w:pPr>
        <w:spacing w:line="240" w:lineRule="auto"/>
        <w:contextualSpacing w:val="0"/>
        <w:rPr>
          <w:sz w:val="16"/>
          <w:szCs w:val="16"/>
        </w:rPr>
      </w:pPr>
      <w:r w:rsidRPr="00F675A8">
        <w:rPr>
          <w:sz w:val="16"/>
          <w:szCs w:val="16"/>
          <w:vertAlign w:val="superscript"/>
        </w:rPr>
        <w:footnoteRef/>
      </w:r>
      <w:r w:rsidR="001C32AE">
        <w:rPr>
          <w:sz w:val="16"/>
          <w:szCs w:val="16"/>
        </w:rPr>
        <w:t xml:space="preserve"> Rapport détaillé des conclusions de</w:t>
      </w:r>
      <w:r w:rsidRPr="00F675A8">
        <w:rPr>
          <w:sz w:val="16"/>
          <w:szCs w:val="16"/>
        </w:rPr>
        <w:t xml:space="preserve"> la commission d’</w:t>
      </w:r>
      <w:r w:rsidR="001C32AE" w:rsidRPr="00F675A8">
        <w:rPr>
          <w:sz w:val="16"/>
          <w:szCs w:val="16"/>
        </w:rPr>
        <w:t>enquête</w:t>
      </w:r>
      <w:r w:rsidRPr="00F675A8">
        <w:rPr>
          <w:sz w:val="16"/>
          <w:szCs w:val="16"/>
        </w:rPr>
        <w:t xml:space="preserve"> </w:t>
      </w:r>
      <w:r w:rsidR="001C32AE" w:rsidRPr="00F675A8">
        <w:rPr>
          <w:sz w:val="16"/>
          <w:szCs w:val="16"/>
        </w:rPr>
        <w:t>indépendante</w:t>
      </w:r>
      <w:r w:rsidRPr="00F675A8">
        <w:rPr>
          <w:sz w:val="16"/>
          <w:szCs w:val="16"/>
        </w:rPr>
        <w:t xml:space="preserve"> </w:t>
      </w:r>
      <w:r w:rsidR="001C32AE">
        <w:rPr>
          <w:sz w:val="16"/>
          <w:szCs w:val="16"/>
        </w:rPr>
        <w:t>instituée</w:t>
      </w:r>
      <w:r w:rsidRPr="00F675A8">
        <w:rPr>
          <w:sz w:val="16"/>
          <w:szCs w:val="16"/>
        </w:rPr>
        <w:t xml:space="preserve"> </w:t>
      </w:r>
      <w:r w:rsidR="001C32AE">
        <w:rPr>
          <w:sz w:val="16"/>
          <w:szCs w:val="16"/>
        </w:rPr>
        <w:t>par</w:t>
      </w:r>
      <w:r w:rsidRPr="00F675A8">
        <w:rPr>
          <w:sz w:val="16"/>
          <w:szCs w:val="16"/>
        </w:rPr>
        <w:t xml:space="preserve"> la </w:t>
      </w:r>
      <w:r w:rsidR="001C32AE" w:rsidRPr="00F675A8">
        <w:rPr>
          <w:sz w:val="16"/>
          <w:szCs w:val="16"/>
        </w:rPr>
        <w:t>résolution</w:t>
      </w:r>
      <w:r w:rsidRPr="00F675A8">
        <w:rPr>
          <w:sz w:val="16"/>
          <w:szCs w:val="16"/>
        </w:rPr>
        <w:t xml:space="preserve"> du Conseil des Droits de l’Homme s-21/1 24 Juin 2015 A/HRC/29/CRP. 4 [650]-[651].</w:t>
      </w:r>
    </w:p>
  </w:footnote>
  <w:footnote w:id="11">
    <w:p w14:paraId="084EAB95" w14:textId="78882FAC"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Accession</w:t>
      </w:r>
      <w:r w:rsidR="001C32AE">
        <w:rPr>
          <w:sz w:val="16"/>
          <w:szCs w:val="16"/>
        </w:rPr>
        <w:t xml:space="preserve"> au Statut de Rome le 2 Janvier 2015 ; D</w:t>
      </w:r>
      <w:r w:rsidR="001C32AE" w:rsidRPr="00F675A8">
        <w:rPr>
          <w:sz w:val="16"/>
          <w:szCs w:val="16"/>
        </w:rPr>
        <w:t>éclaration</w:t>
      </w:r>
      <w:r w:rsidRPr="00F675A8">
        <w:rPr>
          <w:sz w:val="16"/>
          <w:szCs w:val="16"/>
        </w:rPr>
        <w:t xml:space="preserve"> </w:t>
      </w:r>
      <w:r w:rsidR="001C32AE">
        <w:rPr>
          <w:sz w:val="16"/>
          <w:szCs w:val="16"/>
        </w:rPr>
        <w:t>d’acceptation</w:t>
      </w:r>
      <w:r w:rsidRPr="00F675A8">
        <w:rPr>
          <w:sz w:val="16"/>
          <w:szCs w:val="16"/>
        </w:rPr>
        <w:t xml:space="preserve"> de </w:t>
      </w:r>
      <w:r w:rsidR="001C32AE">
        <w:rPr>
          <w:sz w:val="16"/>
          <w:szCs w:val="16"/>
        </w:rPr>
        <w:t>la compétence de la CPI</w:t>
      </w:r>
      <w:r w:rsidRPr="00F675A8">
        <w:rPr>
          <w:sz w:val="16"/>
          <w:szCs w:val="16"/>
        </w:rPr>
        <w:t xml:space="preserve"> le 1</w:t>
      </w:r>
      <w:r w:rsidR="001C32AE" w:rsidRPr="001C32AE">
        <w:rPr>
          <w:sz w:val="16"/>
          <w:szCs w:val="16"/>
          <w:vertAlign w:val="superscript"/>
        </w:rPr>
        <w:t>er</w:t>
      </w:r>
      <w:r w:rsidRPr="00F675A8">
        <w:rPr>
          <w:sz w:val="16"/>
          <w:szCs w:val="16"/>
        </w:rPr>
        <w:t xml:space="preserve"> Janvier 2015.</w:t>
      </w:r>
    </w:p>
  </w:footnote>
  <w:footnote w:id="12">
    <w:p w14:paraId="4D192CE7" w14:textId="6553E9D7"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w:t>
      </w:r>
      <w:r w:rsidR="00532C7B" w:rsidRPr="00F675A8">
        <w:rPr>
          <w:sz w:val="16"/>
          <w:szCs w:val="16"/>
        </w:rPr>
        <w:t>Assemblée</w:t>
      </w:r>
      <w:r w:rsidRPr="00F675A8">
        <w:rPr>
          <w:sz w:val="16"/>
          <w:szCs w:val="16"/>
        </w:rPr>
        <w:t xml:space="preserve"> </w:t>
      </w:r>
      <w:r w:rsidR="00532C7B" w:rsidRPr="00F675A8">
        <w:rPr>
          <w:sz w:val="16"/>
          <w:szCs w:val="16"/>
        </w:rPr>
        <w:t>Générale</w:t>
      </w:r>
      <w:r w:rsidRPr="00F675A8">
        <w:rPr>
          <w:sz w:val="16"/>
          <w:szCs w:val="16"/>
        </w:rPr>
        <w:t xml:space="preserve"> de l’ONU, “Statut de la Palestine aux Nations Unies” (2012) UN Doc A/RES/67/19, article 2.</w:t>
      </w:r>
    </w:p>
  </w:footnote>
  <w:footnote w:id="13">
    <w:p w14:paraId="59DC661C" w14:textId="1056C298" w:rsidR="00822C69" w:rsidRPr="00F675A8" w:rsidRDefault="00694F43">
      <w:pPr>
        <w:spacing w:line="240" w:lineRule="auto"/>
        <w:contextualSpacing w:val="0"/>
        <w:rPr>
          <w:sz w:val="16"/>
          <w:szCs w:val="16"/>
        </w:rPr>
      </w:pPr>
      <w:r w:rsidRPr="00F675A8">
        <w:rPr>
          <w:sz w:val="16"/>
          <w:szCs w:val="16"/>
          <w:vertAlign w:val="superscript"/>
        </w:rPr>
        <w:footnoteRef/>
      </w:r>
      <w:r w:rsidR="00532C7B">
        <w:rPr>
          <w:sz w:val="16"/>
          <w:szCs w:val="16"/>
        </w:rPr>
        <w:t xml:space="preserve"> Mme le Procureur de la Cour Pénale Internationale Fatou Bensouda a ouvert un examen préliminaire de la situation palestinienne le 16 janvier 2015.</w:t>
      </w:r>
    </w:p>
  </w:footnote>
  <w:footnote w:id="14">
    <w:p w14:paraId="774626AC" w14:textId="45587840"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Voir ci-dessus, notes de bas de page </w:t>
      </w:r>
      <w:r w:rsidR="00532C7B">
        <w:rPr>
          <w:sz w:val="16"/>
          <w:szCs w:val="16"/>
        </w:rPr>
        <w:t>7 et 9</w:t>
      </w:r>
      <w:r w:rsidRPr="00F675A8">
        <w:rPr>
          <w:sz w:val="16"/>
          <w:szCs w:val="16"/>
        </w:rPr>
        <w:t>.</w:t>
      </w:r>
    </w:p>
  </w:footnote>
  <w:footnote w:id="15">
    <w:p w14:paraId="594680E8" w14:textId="77777777" w:rsidR="00822C69" w:rsidRPr="00F675A8" w:rsidRDefault="00694F43">
      <w:pPr>
        <w:spacing w:line="240" w:lineRule="auto"/>
        <w:contextualSpacing w:val="0"/>
        <w:rPr>
          <w:sz w:val="16"/>
          <w:szCs w:val="16"/>
        </w:rPr>
      </w:pPr>
      <w:r w:rsidRPr="00F675A8">
        <w:rPr>
          <w:sz w:val="16"/>
          <w:szCs w:val="16"/>
          <w:vertAlign w:val="superscript"/>
        </w:rPr>
        <w:footnoteRef/>
      </w:r>
      <w:r w:rsidRPr="00F675A8">
        <w:rPr>
          <w:sz w:val="16"/>
          <w:szCs w:val="16"/>
        </w:rPr>
        <w:t xml:space="preserve"> Statut de Rome, Préambule et Article 21.</w:t>
      </w:r>
    </w:p>
  </w:footnote>
  <w:footnote w:id="16">
    <w:p w14:paraId="00CC17D5" w14:textId="77777777" w:rsidR="00822C69" w:rsidRDefault="00694F43">
      <w:pPr>
        <w:spacing w:line="240" w:lineRule="auto"/>
        <w:contextualSpacing w:val="0"/>
        <w:rPr>
          <w:color w:val="FF0000"/>
          <w:sz w:val="20"/>
          <w:szCs w:val="20"/>
        </w:rPr>
      </w:pPr>
      <w:r w:rsidRPr="00F675A8">
        <w:rPr>
          <w:sz w:val="16"/>
          <w:szCs w:val="16"/>
          <w:vertAlign w:val="superscript"/>
        </w:rPr>
        <w:footnoteRef/>
      </w:r>
      <w:r w:rsidRPr="00F675A8">
        <w:rPr>
          <w:sz w:val="16"/>
          <w:szCs w:val="16"/>
        </w:rPr>
        <w:t xml:space="preserve"> Comité des Droits de l’Homme des Nations Unies, Commentaire Général No. 20; Velasquez Rodriguez CIDH Series C 4 (1988) [174], [176] et [177] Estamirov et autres v. Russie CEDH para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03479"/>
    <w:multiLevelType w:val="multilevel"/>
    <w:tmpl w:val="71589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69"/>
    <w:rsid w:val="00106DCC"/>
    <w:rsid w:val="001C32AE"/>
    <w:rsid w:val="003668AA"/>
    <w:rsid w:val="004A5E31"/>
    <w:rsid w:val="004C2D54"/>
    <w:rsid w:val="00532C7B"/>
    <w:rsid w:val="00581E8F"/>
    <w:rsid w:val="00586338"/>
    <w:rsid w:val="006029F4"/>
    <w:rsid w:val="00610782"/>
    <w:rsid w:val="00665471"/>
    <w:rsid w:val="00694F43"/>
    <w:rsid w:val="00725263"/>
    <w:rsid w:val="00807D8B"/>
    <w:rsid w:val="00822C69"/>
    <w:rsid w:val="00927BC8"/>
    <w:rsid w:val="00965CDB"/>
    <w:rsid w:val="009C0AE0"/>
    <w:rsid w:val="009D7D2A"/>
    <w:rsid w:val="00B22368"/>
    <w:rsid w:val="00B22DE4"/>
    <w:rsid w:val="00B2525C"/>
    <w:rsid w:val="00BA6E20"/>
    <w:rsid w:val="00C55A3B"/>
    <w:rsid w:val="00D348BC"/>
    <w:rsid w:val="00D6671C"/>
    <w:rsid w:val="00E47F7F"/>
    <w:rsid w:val="00E91806"/>
    <w:rsid w:val="00F675A8"/>
    <w:rsid w:val="00F84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34C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586338"/>
    <w:pPr>
      <w:ind w:left="720"/>
    </w:pPr>
  </w:style>
  <w:style w:type="paragraph" w:styleId="En-tte">
    <w:name w:val="header"/>
    <w:basedOn w:val="Normal"/>
    <w:link w:val="En-tteCar"/>
    <w:uiPriority w:val="99"/>
    <w:unhideWhenUsed/>
    <w:rsid w:val="00665471"/>
    <w:pPr>
      <w:tabs>
        <w:tab w:val="center" w:pos="4536"/>
        <w:tab w:val="right" w:pos="9072"/>
      </w:tabs>
      <w:spacing w:line="240" w:lineRule="auto"/>
    </w:pPr>
  </w:style>
  <w:style w:type="character" w:customStyle="1" w:styleId="En-tteCar">
    <w:name w:val="En-tête Car"/>
    <w:basedOn w:val="Policepardfaut"/>
    <w:link w:val="En-tte"/>
    <w:uiPriority w:val="99"/>
    <w:rsid w:val="00665471"/>
  </w:style>
  <w:style w:type="paragraph" w:styleId="Pieddepage">
    <w:name w:val="footer"/>
    <w:basedOn w:val="Normal"/>
    <w:link w:val="PieddepageCar"/>
    <w:uiPriority w:val="99"/>
    <w:unhideWhenUsed/>
    <w:rsid w:val="00665471"/>
    <w:pPr>
      <w:tabs>
        <w:tab w:val="center" w:pos="4536"/>
        <w:tab w:val="right" w:pos="9072"/>
      </w:tabs>
      <w:spacing w:line="240" w:lineRule="auto"/>
    </w:pPr>
  </w:style>
  <w:style w:type="character" w:customStyle="1" w:styleId="PieddepageCar">
    <w:name w:val="Pied de page Car"/>
    <w:basedOn w:val="Policepardfaut"/>
    <w:link w:val="Pieddepage"/>
    <w:uiPriority w:val="99"/>
    <w:rsid w:val="00665471"/>
  </w:style>
  <w:style w:type="character" w:styleId="Lienhypertexte">
    <w:name w:val="Hyperlink"/>
    <w:basedOn w:val="Policepardfaut"/>
    <w:uiPriority w:val="99"/>
    <w:unhideWhenUsed/>
    <w:rsid w:val="004C2D54"/>
    <w:rPr>
      <w:color w:val="0000FF" w:themeColor="hyperlink"/>
      <w:u w:val="single"/>
    </w:rPr>
  </w:style>
  <w:style w:type="character" w:styleId="Mentionnonrsolue">
    <w:name w:val="Unresolved Mention"/>
    <w:basedOn w:val="Policepardfaut"/>
    <w:uiPriority w:val="99"/>
    <w:rsid w:val="004C2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7783">
      <w:bodyDiv w:val="1"/>
      <w:marLeft w:val="0"/>
      <w:marRight w:val="0"/>
      <w:marTop w:val="0"/>
      <w:marBottom w:val="0"/>
      <w:divBdr>
        <w:top w:val="none" w:sz="0" w:space="0" w:color="auto"/>
        <w:left w:val="none" w:sz="0" w:space="0" w:color="auto"/>
        <w:bottom w:val="none" w:sz="0" w:space="0" w:color="auto"/>
        <w:right w:val="none" w:sz="0" w:space="0" w:color="auto"/>
      </w:divBdr>
    </w:div>
    <w:div w:id="395393223">
      <w:bodyDiv w:val="1"/>
      <w:marLeft w:val="0"/>
      <w:marRight w:val="0"/>
      <w:marTop w:val="0"/>
      <w:marBottom w:val="0"/>
      <w:divBdr>
        <w:top w:val="none" w:sz="0" w:space="0" w:color="auto"/>
        <w:left w:val="none" w:sz="0" w:space="0" w:color="auto"/>
        <w:bottom w:val="none" w:sz="0" w:space="0" w:color="auto"/>
        <w:right w:val="none" w:sz="0" w:space="0" w:color="auto"/>
      </w:divBdr>
    </w:div>
    <w:div w:id="1423145211">
      <w:bodyDiv w:val="1"/>
      <w:marLeft w:val="0"/>
      <w:marRight w:val="0"/>
      <w:marTop w:val="0"/>
      <w:marBottom w:val="0"/>
      <w:divBdr>
        <w:top w:val="none" w:sz="0" w:space="0" w:color="auto"/>
        <w:left w:val="none" w:sz="0" w:space="0" w:color="auto"/>
        <w:bottom w:val="none" w:sz="0" w:space="0" w:color="auto"/>
        <w:right w:val="none" w:sz="0" w:space="0" w:color="auto"/>
      </w:divBdr>
    </w:div>
    <w:div w:id="1547722565">
      <w:bodyDiv w:val="1"/>
      <w:marLeft w:val="0"/>
      <w:marRight w:val="0"/>
      <w:marTop w:val="0"/>
      <w:marBottom w:val="0"/>
      <w:divBdr>
        <w:top w:val="none" w:sz="0" w:space="0" w:color="auto"/>
        <w:left w:val="none" w:sz="0" w:space="0" w:color="auto"/>
        <w:bottom w:val="none" w:sz="0" w:space="0" w:color="auto"/>
        <w:right w:val="none" w:sz="0" w:space="0" w:color="auto"/>
      </w:divBdr>
      <w:divsChild>
        <w:div w:id="3489139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717</Words>
  <Characters>3945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JULLIEN Norma</cp:lastModifiedBy>
  <cp:revision>4</cp:revision>
  <dcterms:created xsi:type="dcterms:W3CDTF">2018-09-16T11:38:00Z</dcterms:created>
  <dcterms:modified xsi:type="dcterms:W3CDTF">2018-09-16T16:12:00Z</dcterms:modified>
</cp:coreProperties>
</file>